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540" w:rsidRDefault="00C340F5" w:rsidP="00C340F5">
      <w:pPr>
        <w:spacing w:after="0" w:line="240" w:lineRule="auto"/>
        <w:jc w:val="center"/>
        <w:rPr>
          <w:rFonts w:ascii="Palatino Linotype" w:eastAsiaTheme="minorHAnsi" w:hAnsi="Palatino Linotype"/>
          <w:b/>
        </w:rPr>
      </w:pPr>
      <w:r w:rsidRPr="00C340F5">
        <w:rPr>
          <w:rFonts w:ascii="Palatino Linotype" w:eastAsiaTheme="minorHAnsi" w:hAnsi="Palatino Linotype"/>
          <w:b/>
        </w:rPr>
        <w:t>EXTERNAL RESERVE MANAGEMENT AND ECONOMIC GROWTH: EMPIRICAL EVIDENCE FROM NIGERIA</w:t>
      </w:r>
    </w:p>
    <w:p w:rsidR="00C340F5" w:rsidRPr="00C340F5" w:rsidRDefault="00C340F5" w:rsidP="00C340F5">
      <w:pPr>
        <w:spacing w:after="0" w:line="240" w:lineRule="auto"/>
        <w:jc w:val="center"/>
        <w:rPr>
          <w:rFonts w:ascii="Palatino Linotype" w:eastAsiaTheme="minorHAnsi" w:hAnsi="Palatino Linotype"/>
          <w:b/>
        </w:rPr>
      </w:pPr>
    </w:p>
    <w:p w:rsidR="00A81540" w:rsidRPr="00C340F5" w:rsidRDefault="00C340F5" w:rsidP="00C340F5">
      <w:pPr>
        <w:pStyle w:val="NoSpacing"/>
        <w:jc w:val="center"/>
        <w:rPr>
          <w:rFonts w:ascii="Palatino Linotype" w:hAnsi="Palatino Linotype"/>
          <w:b/>
        </w:rPr>
      </w:pPr>
      <w:r w:rsidRPr="00C340F5">
        <w:rPr>
          <w:rFonts w:ascii="Palatino Linotype" w:hAnsi="Palatino Linotype"/>
          <w:b/>
        </w:rPr>
        <w:t>OROBOSA A. IHENSEKHIEN</w:t>
      </w:r>
      <w:r w:rsidRPr="00C340F5">
        <w:rPr>
          <w:rFonts w:ascii="Palatino Linotype" w:hAnsi="Palatino Linotype"/>
          <w:b/>
          <w:i/>
        </w:rPr>
        <w:t xml:space="preserve">, </w:t>
      </w:r>
      <w:proofErr w:type="spellStart"/>
      <w:r w:rsidR="007717A7">
        <w:rPr>
          <w:rFonts w:ascii="Palatino Linotype" w:hAnsi="Palatino Linotype"/>
          <w:b/>
        </w:rPr>
        <w:t>Ph</w:t>
      </w:r>
      <w:r w:rsidRPr="00C340F5">
        <w:rPr>
          <w:rFonts w:ascii="Palatino Linotype" w:hAnsi="Palatino Linotype"/>
          <w:b/>
        </w:rPr>
        <w:t>.D</w:t>
      </w:r>
      <w:proofErr w:type="spellEnd"/>
      <w:r w:rsidRPr="00C340F5">
        <w:rPr>
          <w:rFonts w:ascii="Palatino Linotype" w:hAnsi="Palatino Linotype"/>
          <w:b/>
          <w:i/>
        </w:rPr>
        <w:t xml:space="preserve"> </w:t>
      </w:r>
      <w:r w:rsidRPr="00C340F5">
        <w:rPr>
          <w:rFonts w:ascii="Palatino Linotype" w:hAnsi="Palatino Linotype"/>
          <w:b/>
        </w:rPr>
        <w:t>(ASSOCIATE PROFESSOR)</w:t>
      </w:r>
    </w:p>
    <w:p w:rsidR="00A81540" w:rsidRPr="00C340F5" w:rsidRDefault="00A81540" w:rsidP="00C340F5">
      <w:pPr>
        <w:pStyle w:val="NoSpacing"/>
        <w:jc w:val="center"/>
        <w:rPr>
          <w:rFonts w:ascii="Palatino Linotype" w:hAnsi="Palatino Linotype"/>
          <w:b/>
        </w:rPr>
      </w:pPr>
      <w:r w:rsidRPr="00C340F5">
        <w:rPr>
          <w:rFonts w:ascii="Palatino Linotype" w:hAnsi="Palatino Linotype"/>
          <w:b/>
        </w:rPr>
        <w:t>Department of Economics, Banking and Finance</w:t>
      </w:r>
    </w:p>
    <w:p w:rsidR="00A81540" w:rsidRPr="00C340F5" w:rsidRDefault="00A81540" w:rsidP="00C340F5">
      <w:pPr>
        <w:pStyle w:val="NoSpacing"/>
        <w:jc w:val="center"/>
        <w:rPr>
          <w:rFonts w:ascii="Palatino Linotype" w:hAnsi="Palatino Linotype"/>
          <w:b/>
        </w:rPr>
      </w:pPr>
      <w:r w:rsidRPr="00C340F5">
        <w:rPr>
          <w:rFonts w:ascii="Palatino Linotype" w:hAnsi="Palatino Linotype"/>
          <w:b/>
        </w:rPr>
        <w:t xml:space="preserve">Benson </w:t>
      </w:r>
      <w:proofErr w:type="spellStart"/>
      <w:r w:rsidRPr="00C340F5">
        <w:rPr>
          <w:rFonts w:ascii="Palatino Linotype" w:hAnsi="Palatino Linotype"/>
          <w:b/>
        </w:rPr>
        <w:t>Idahosa</w:t>
      </w:r>
      <w:proofErr w:type="spellEnd"/>
      <w:r w:rsidRPr="00C340F5">
        <w:rPr>
          <w:rFonts w:ascii="Palatino Linotype" w:hAnsi="Palatino Linotype"/>
          <w:b/>
        </w:rPr>
        <w:t xml:space="preserve"> University</w:t>
      </w:r>
    </w:p>
    <w:p w:rsidR="00A81540" w:rsidRPr="00C340F5" w:rsidRDefault="00A81540" w:rsidP="00C340F5">
      <w:pPr>
        <w:pStyle w:val="NoSpacing"/>
        <w:jc w:val="center"/>
        <w:rPr>
          <w:rFonts w:ascii="Palatino Linotype" w:hAnsi="Palatino Linotype"/>
          <w:b/>
        </w:rPr>
      </w:pPr>
      <w:r w:rsidRPr="00C340F5">
        <w:rPr>
          <w:rFonts w:ascii="Palatino Linotype" w:hAnsi="Palatino Linotype"/>
          <w:b/>
        </w:rPr>
        <w:t>Benin City, Edo State</w:t>
      </w:r>
    </w:p>
    <w:p w:rsidR="00A81540" w:rsidRPr="00C340F5" w:rsidRDefault="002B66A3" w:rsidP="00C340F5">
      <w:pPr>
        <w:pStyle w:val="NoSpacing"/>
        <w:jc w:val="center"/>
        <w:rPr>
          <w:rFonts w:ascii="Palatino Linotype" w:hAnsi="Palatino Linotype"/>
          <w:b/>
        </w:rPr>
      </w:pPr>
      <w:hyperlink r:id="rId7" w:history="1">
        <w:r w:rsidR="00A81540" w:rsidRPr="00C340F5">
          <w:rPr>
            <w:rStyle w:val="Hyperlink"/>
            <w:rFonts w:ascii="Palatino Linotype" w:hAnsi="Palatino Linotype"/>
            <w:b/>
          </w:rPr>
          <w:t>oihensekhien@biu.edu.ng</w:t>
        </w:r>
      </w:hyperlink>
    </w:p>
    <w:p w:rsidR="00A81540" w:rsidRPr="00C340F5" w:rsidRDefault="00A81540" w:rsidP="00C340F5">
      <w:pPr>
        <w:pStyle w:val="NoSpacing"/>
        <w:jc w:val="center"/>
        <w:rPr>
          <w:rFonts w:ascii="Palatino Linotype" w:hAnsi="Palatino Linotype"/>
          <w:b/>
        </w:rPr>
      </w:pPr>
    </w:p>
    <w:p w:rsidR="00A81540" w:rsidRPr="00C340F5" w:rsidRDefault="00C7624A" w:rsidP="00C340F5">
      <w:pPr>
        <w:pStyle w:val="NoSpacing"/>
        <w:jc w:val="center"/>
        <w:rPr>
          <w:rFonts w:ascii="Palatino Linotype" w:hAnsi="Palatino Linotype"/>
          <w:b/>
        </w:rPr>
      </w:pPr>
      <w:r w:rsidRPr="00C340F5">
        <w:rPr>
          <w:rFonts w:ascii="Palatino Linotype" w:hAnsi="Palatino Linotype"/>
          <w:b/>
        </w:rPr>
        <w:t xml:space="preserve">GEORGINA OKPOA </w:t>
      </w:r>
      <w:r w:rsidR="007717A7">
        <w:rPr>
          <w:rFonts w:ascii="Palatino Linotype" w:hAnsi="Palatino Linotype"/>
          <w:b/>
        </w:rPr>
        <w:t>ASEMOTA</w:t>
      </w:r>
      <w:r w:rsidR="00A81540" w:rsidRPr="00C340F5">
        <w:rPr>
          <w:rFonts w:ascii="Palatino Linotype" w:hAnsi="Palatino Linotype"/>
          <w:b/>
        </w:rPr>
        <w:t xml:space="preserve"> </w:t>
      </w:r>
      <w:r w:rsidR="007717A7">
        <w:rPr>
          <w:rFonts w:ascii="Palatino Linotype" w:hAnsi="Palatino Linotype"/>
          <w:b/>
        </w:rPr>
        <w:t>(</w:t>
      </w:r>
      <w:bookmarkStart w:id="0" w:name="_GoBack"/>
      <w:bookmarkEnd w:id="0"/>
      <w:proofErr w:type="spellStart"/>
      <w:r w:rsidR="00A81540" w:rsidRPr="00C340F5">
        <w:rPr>
          <w:rFonts w:ascii="Palatino Linotype" w:hAnsi="Palatino Linotype"/>
          <w:b/>
        </w:rPr>
        <w:t>Ph.D</w:t>
      </w:r>
      <w:proofErr w:type="spellEnd"/>
      <w:r w:rsidR="007717A7">
        <w:rPr>
          <w:rFonts w:ascii="Palatino Linotype" w:hAnsi="Palatino Linotype"/>
          <w:b/>
        </w:rPr>
        <w:t>)</w:t>
      </w:r>
    </w:p>
    <w:p w:rsidR="00A81540" w:rsidRPr="00C340F5" w:rsidRDefault="002B66A3" w:rsidP="00C340F5">
      <w:pPr>
        <w:pStyle w:val="NoSpacing"/>
        <w:jc w:val="center"/>
        <w:rPr>
          <w:rFonts w:ascii="Palatino Linotype" w:hAnsi="Palatino Linotype"/>
          <w:b/>
        </w:rPr>
      </w:pPr>
      <w:hyperlink r:id="rId8" w:history="1">
        <w:r w:rsidR="00A81540" w:rsidRPr="00C340F5">
          <w:rPr>
            <w:rStyle w:val="Hyperlink"/>
            <w:rFonts w:ascii="Palatino Linotype" w:hAnsi="Palatino Linotype"/>
            <w:b/>
          </w:rPr>
          <w:t>gasemota@biu.edu.ng</w:t>
        </w:r>
      </w:hyperlink>
    </w:p>
    <w:p w:rsidR="00A81540" w:rsidRPr="00C340F5" w:rsidRDefault="00A81540" w:rsidP="00C340F5">
      <w:pPr>
        <w:pStyle w:val="NoSpacing"/>
        <w:jc w:val="center"/>
        <w:rPr>
          <w:rFonts w:ascii="Palatino Linotype" w:hAnsi="Palatino Linotype"/>
          <w:b/>
        </w:rPr>
      </w:pPr>
      <w:r w:rsidRPr="00C340F5">
        <w:rPr>
          <w:rFonts w:ascii="Palatino Linotype" w:hAnsi="Palatino Linotype"/>
          <w:b/>
        </w:rPr>
        <w:t>Department of Economics, Banking and Finance</w:t>
      </w:r>
    </w:p>
    <w:p w:rsidR="00A81540" w:rsidRPr="00C340F5" w:rsidRDefault="00A81540" w:rsidP="00C340F5">
      <w:pPr>
        <w:pStyle w:val="NoSpacing"/>
        <w:jc w:val="center"/>
        <w:rPr>
          <w:rFonts w:ascii="Palatino Linotype" w:hAnsi="Palatino Linotype"/>
          <w:b/>
        </w:rPr>
      </w:pPr>
      <w:r w:rsidRPr="00C340F5">
        <w:rPr>
          <w:rFonts w:ascii="Palatino Linotype" w:hAnsi="Palatino Linotype"/>
          <w:b/>
        </w:rPr>
        <w:t xml:space="preserve">Benson </w:t>
      </w:r>
      <w:proofErr w:type="spellStart"/>
      <w:r w:rsidRPr="00C340F5">
        <w:rPr>
          <w:rFonts w:ascii="Palatino Linotype" w:hAnsi="Palatino Linotype"/>
          <w:b/>
        </w:rPr>
        <w:t>Idahosa</w:t>
      </w:r>
      <w:proofErr w:type="spellEnd"/>
      <w:r w:rsidRPr="00C340F5">
        <w:rPr>
          <w:rFonts w:ascii="Palatino Linotype" w:hAnsi="Palatino Linotype"/>
          <w:b/>
        </w:rPr>
        <w:t xml:space="preserve"> University</w:t>
      </w:r>
    </w:p>
    <w:p w:rsidR="00A81540" w:rsidRPr="00C340F5" w:rsidRDefault="00A81540" w:rsidP="00C340F5">
      <w:pPr>
        <w:pStyle w:val="NoSpacing"/>
        <w:jc w:val="center"/>
        <w:rPr>
          <w:rFonts w:ascii="Palatino Linotype" w:hAnsi="Palatino Linotype"/>
          <w:b/>
        </w:rPr>
      </w:pPr>
      <w:r w:rsidRPr="00C340F5">
        <w:rPr>
          <w:rFonts w:ascii="Palatino Linotype" w:hAnsi="Palatino Linotype"/>
          <w:b/>
        </w:rPr>
        <w:t>Benin City, Edo State</w:t>
      </w:r>
    </w:p>
    <w:p w:rsidR="00A81540" w:rsidRPr="00C340F5" w:rsidRDefault="00A81540" w:rsidP="00C340F5">
      <w:pPr>
        <w:pStyle w:val="NoSpacing"/>
        <w:jc w:val="center"/>
        <w:rPr>
          <w:rFonts w:ascii="Palatino Linotype" w:hAnsi="Palatino Linotype"/>
          <w:b/>
        </w:rPr>
      </w:pPr>
    </w:p>
    <w:p w:rsidR="00A81540" w:rsidRPr="00C340F5" w:rsidRDefault="00C7624A" w:rsidP="00C340F5">
      <w:pPr>
        <w:pStyle w:val="NoSpacing"/>
        <w:jc w:val="center"/>
        <w:rPr>
          <w:rFonts w:ascii="Palatino Linotype" w:hAnsi="Palatino Linotype"/>
          <w:b/>
          <w:i/>
        </w:rPr>
      </w:pPr>
      <w:r w:rsidRPr="00C340F5">
        <w:rPr>
          <w:rFonts w:ascii="Palatino Linotype" w:hAnsi="Palatino Linotype"/>
          <w:b/>
        </w:rPr>
        <w:t>MIEDIDEKE</w:t>
      </w:r>
      <w:r w:rsidR="00A81540" w:rsidRPr="00C340F5">
        <w:rPr>
          <w:rFonts w:ascii="Palatino Linotype" w:hAnsi="Palatino Linotype"/>
          <w:b/>
        </w:rPr>
        <w:t xml:space="preserve"> ODONI</w:t>
      </w:r>
    </w:p>
    <w:p w:rsidR="00A81540" w:rsidRPr="00C340F5" w:rsidRDefault="00A81540" w:rsidP="00C340F5">
      <w:pPr>
        <w:pStyle w:val="NoSpacing"/>
        <w:jc w:val="center"/>
        <w:rPr>
          <w:rFonts w:ascii="Palatino Linotype" w:hAnsi="Palatino Linotype"/>
          <w:b/>
        </w:rPr>
      </w:pPr>
      <w:r w:rsidRPr="00C340F5">
        <w:rPr>
          <w:rFonts w:ascii="Palatino Linotype" w:hAnsi="Palatino Linotype"/>
          <w:b/>
        </w:rPr>
        <w:t>Department of Economics, Banking and Finance</w:t>
      </w:r>
    </w:p>
    <w:p w:rsidR="00A81540" w:rsidRPr="00C340F5" w:rsidRDefault="00A81540" w:rsidP="00C340F5">
      <w:pPr>
        <w:pStyle w:val="NoSpacing"/>
        <w:jc w:val="center"/>
        <w:rPr>
          <w:rFonts w:ascii="Palatino Linotype" w:hAnsi="Palatino Linotype"/>
          <w:b/>
        </w:rPr>
      </w:pPr>
      <w:r w:rsidRPr="00C340F5">
        <w:rPr>
          <w:rFonts w:ascii="Palatino Linotype" w:hAnsi="Palatino Linotype"/>
          <w:b/>
        </w:rPr>
        <w:t xml:space="preserve">Benson </w:t>
      </w:r>
      <w:proofErr w:type="spellStart"/>
      <w:r w:rsidRPr="00C340F5">
        <w:rPr>
          <w:rFonts w:ascii="Palatino Linotype" w:hAnsi="Palatino Linotype"/>
          <w:b/>
        </w:rPr>
        <w:t>Idahosa</w:t>
      </w:r>
      <w:proofErr w:type="spellEnd"/>
      <w:r w:rsidRPr="00C340F5">
        <w:rPr>
          <w:rFonts w:ascii="Palatino Linotype" w:hAnsi="Palatino Linotype"/>
          <w:b/>
        </w:rPr>
        <w:t xml:space="preserve"> University</w:t>
      </w:r>
    </w:p>
    <w:p w:rsidR="00A81540" w:rsidRPr="00C340F5" w:rsidRDefault="00A81540" w:rsidP="00C340F5">
      <w:pPr>
        <w:pStyle w:val="NoSpacing"/>
        <w:jc w:val="center"/>
        <w:rPr>
          <w:rFonts w:ascii="Palatino Linotype" w:hAnsi="Palatino Linotype"/>
          <w:b/>
        </w:rPr>
      </w:pPr>
      <w:r w:rsidRPr="00C340F5">
        <w:rPr>
          <w:rFonts w:ascii="Palatino Linotype" w:hAnsi="Palatino Linotype"/>
          <w:b/>
        </w:rPr>
        <w:t>Benin City, Edo State</w:t>
      </w:r>
    </w:p>
    <w:p w:rsidR="00A81540" w:rsidRPr="00C340F5" w:rsidRDefault="002B66A3" w:rsidP="00C340F5">
      <w:pPr>
        <w:pStyle w:val="NoSpacing"/>
        <w:jc w:val="center"/>
        <w:rPr>
          <w:rFonts w:ascii="Palatino Linotype" w:hAnsi="Palatino Linotype"/>
          <w:b/>
        </w:rPr>
      </w:pPr>
      <w:hyperlink r:id="rId9" w:history="1">
        <w:r w:rsidR="00A81540" w:rsidRPr="00C340F5">
          <w:rPr>
            <w:rStyle w:val="Hyperlink"/>
            <w:rFonts w:ascii="Palatino Linotype" w:hAnsi="Palatino Linotype"/>
            <w:b/>
          </w:rPr>
          <w:t>odonimiedideke@gmail.com</w:t>
        </w:r>
      </w:hyperlink>
    </w:p>
    <w:p w:rsidR="00A81540" w:rsidRPr="00C340F5" w:rsidRDefault="00A81540" w:rsidP="00C340F5">
      <w:pPr>
        <w:pStyle w:val="NoSpacing"/>
        <w:jc w:val="center"/>
        <w:rPr>
          <w:rFonts w:ascii="Palatino Linotype" w:hAnsi="Palatino Linotype"/>
          <w:b/>
        </w:rPr>
      </w:pPr>
    </w:p>
    <w:p w:rsidR="00A81540" w:rsidRPr="00C340F5" w:rsidRDefault="00C340F5" w:rsidP="00C340F5">
      <w:pPr>
        <w:spacing w:after="0" w:line="240" w:lineRule="auto"/>
        <w:jc w:val="center"/>
        <w:rPr>
          <w:rFonts w:ascii="Palatino Linotype" w:hAnsi="Palatino Linotype"/>
          <w:b/>
        </w:rPr>
      </w:pPr>
      <w:r w:rsidRPr="00C340F5">
        <w:rPr>
          <w:rFonts w:ascii="Palatino Linotype" w:hAnsi="Palatino Linotype"/>
          <w:b/>
        </w:rPr>
        <w:t>ABSTRACT</w:t>
      </w:r>
    </w:p>
    <w:p w:rsidR="00A81540" w:rsidRDefault="00A81540" w:rsidP="00C340F5">
      <w:pPr>
        <w:spacing w:after="0" w:line="240" w:lineRule="auto"/>
        <w:ind w:left="720" w:right="746"/>
        <w:jc w:val="both"/>
        <w:rPr>
          <w:rFonts w:ascii="Palatino Linotype" w:eastAsia="Times New Roman" w:hAnsi="Palatino Linotype"/>
          <w:i/>
        </w:rPr>
      </w:pPr>
      <w:r w:rsidRPr="00C340F5">
        <w:rPr>
          <w:rFonts w:ascii="Palatino Linotype" w:eastAsia="Times New Roman" w:hAnsi="Palatino Linotype"/>
          <w:i/>
        </w:rPr>
        <w:t>This study examines the impact of external reserves on economic growth in Nigeria.</w:t>
      </w:r>
      <w:r w:rsidR="00C340F5">
        <w:rPr>
          <w:rFonts w:ascii="Palatino Linotype" w:eastAsia="Times New Roman" w:hAnsi="Palatino Linotype"/>
          <w:i/>
        </w:rPr>
        <w:t xml:space="preserve"> </w:t>
      </w:r>
      <w:r w:rsidRPr="00C340F5">
        <w:rPr>
          <w:rFonts w:ascii="Palatino Linotype" w:eastAsia="Times New Roman" w:hAnsi="Palatino Linotype"/>
          <w:i/>
        </w:rPr>
        <w:t>Alongside external reserves, other explanatory variables used in the study are</w:t>
      </w:r>
      <w:r w:rsidRPr="00C340F5">
        <w:rPr>
          <w:rFonts w:ascii="Palatino Linotype" w:hAnsi="Palatino Linotype"/>
          <w:i/>
        </w:rPr>
        <w:t xml:space="preserve"> exchange rate, inflation rate, and trade openness. </w:t>
      </w:r>
      <w:r w:rsidRPr="00C340F5">
        <w:rPr>
          <w:rFonts w:ascii="Palatino Linotype" w:eastAsia="Times New Roman" w:hAnsi="Palatino Linotype"/>
          <w:i/>
        </w:rPr>
        <w:t>The data employed were culled from several issues of the Central Bank of Nigeria's annual reports and statistical bulletins covering the period 1986-2020.The paper utilized autoregressive distributed lag (ARDL) model to explore the contemporaneous dynamics for the short and long-run approaches. Descriptively, the study observed that economic growth rate and external reserves witnessed fluctuations with the latter being relatively more pronounced. Specifically, the study revealed that in the long run, all the explanatory variables were key determinants of economic growth in Nigeria. However, in the short run economic growth was observed to be significantly and positively responsive to changes in external reserves, inflation rate and a one-period lag of GDP contrary to its negative response to changes in the exchange rate. The paper, therefore, recommended that the Nigerian government should have a deliberate policy to boost her external reserves, maintain a stable exchange rate policy and also try to achieve a tolerable low inflation rate.</w:t>
      </w:r>
    </w:p>
    <w:p w:rsidR="00C340F5" w:rsidRPr="00C340F5" w:rsidRDefault="00C340F5" w:rsidP="00C340F5">
      <w:pPr>
        <w:spacing w:after="0" w:line="240" w:lineRule="auto"/>
        <w:ind w:left="720" w:right="746"/>
        <w:jc w:val="both"/>
        <w:rPr>
          <w:rFonts w:ascii="Palatino Linotype" w:eastAsiaTheme="minorHAnsi" w:hAnsi="Palatino Linotype"/>
          <w:i/>
        </w:rPr>
      </w:pPr>
    </w:p>
    <w:p w:rsidR="00A81540" w:rsidRPr="00C340F5" w:rsidRDefault="00A81540" w:rsidP="00C340F5">
      <w:pPr>
        <w:spacing w:after="0" w:line="240" w:lineRule="auto"/>
        <w:jc w:val="both"/>
        <w:rPr>
          <w:rFonts w:ascii="Palatino Linotype" w:eastAsiaTheme="minorHAnsi" w:hAnsi="Palatino Linotype"/>
          <w:b/>
        </w:rPr>
      </w:pPr>
      <w:r w:rsidRPr="00C340F5">
        <w:rPr>
          <w:rFonts w:ascii="Palatino Linotype" w:eastAsiaTheme="minorHAnsi" w:hAnsi="Palatino Linotype"/>
          <w:b/>
        </w:rPr>
        <w:t>Keywords: Economic growth, External reserves, ARDL, Trade Openness, Exchange Rate.</w:t>
      </w:r>
    </w:p>
    <w:p w:rsidR="00A81540" w:rsidRPr="00C340F5" w:rsidRDefault="00A81540" w:rsidP="00C340F5">
      <w:pPr>
        <w:spacing w:after="0" w:line="240" w:lineRule="auto"/>
        <w:jc w:val="both"/>
        <w:rPr>
          <w:rFonts w:ascii="Palatino Linotype" w:eastAsiaTheme="minorHAnsi" w:hAnsi="Palatino Linotype"/>
          <w:b/>
        </w:rPr>
      </w:pPr>
      <w:r w:rsidRPr="00C340F5">
        <w:rPr>
          <w:rFonts w:ascii="Palatino Linotype" w:eastAsiaTheme="minorHAnsi" w:hAnsi="Palatino Linotype"/>
          <w:b/>
        </w:rPr>
        <w:t>JEL Classification: C1, E6, H2</w:t>
      </w:r>
    </w:p>
    <w:p w:rsidR="00A81540" w:rsidRPr="00C340F5" w:rsidRDefault="00A81540" w:rsidP="00C340F5">
      <w:pPr>
        <w:spacing w:after="0" w:line="240" w:lineRule="auto"/>
        <w:jc w:val="both"/>
        <w:rPr>
          <w:rFonts w:ascii="Palatino Linotype" w:hAnsi="Palatino Linotype"/>
        </w:rPr>
      </w:pPr>
    </w:p>
    <w:p w:rsidR="00A81540" w:rsidRPr="00C340F5" w:rsidRDefault="00A81540" w:rsidP="00C340F5">
      <w:pPr>
        <w:spacing w:after="0" w:line="240" w:lineRule="auto"/>
        <w:jc w:val="both"/>
        <w:rPr>
          <w:rFonts w:ascii="Palatino Linotype" w:eastAsiaTheme="minorHAnsi" w:hAnsi="Palatino Linotype"/>
          <w:b/>
        </w:rPr>
      </w:pPr>
      <w:r w:rsidRPr="00C340F5">
        <w:rPr>
          <w:rFonts w:ascii="Palatino Linotype" w:eastAsiaTheme="minorHAnsi" w:hAnsi="Palatino Linotype"/>
          <w:b/>
        </w:rPr>
        <w:t>1.   Introduction</w:t>
      </w:r>
    </w:p>
    <w:p w:rsidR="00A81540" w:rsidRDefault="00A81540" w:rsidP="00C340F5">
      <w:pPr>
        <w:pStyle w:val="NoSpacing"/>
        <w:jc w:val="both"/>
        <w:rPr>
          <w:rFonts w:ascii="Palatino Linotype" w:eastAsiaTheme="minorHAnsi" w:hAnsi="Palatino Linotype"/>
        </w:rPr>
      </w:pPr>
      <w:r w:rsidRPr="00C340F5">
        <w:rPr>
          <w:rFonts w:ascii="Palatino Linotype" w:eastAsiaTheme="minorHAnsi" w:hAnsi="Palatino Linotype"/>
        </w:rPr>
        <w:t xml:space="preserve">The amount of external reserves that a country should hold at any given time to provide a lifeline in the event of shock occasioned by critical economic challenges is simply a policy issue. This is based on the fact that the trade balance is usually determined by changes in the </w:t>
      </w:r>
      <w:r w:rsidRPr="00C340F5">
        <w:rPr>
          <w:rFonts w:ascii="Palatino Linotype" w:eastAsiaTheme="minorHAnsi" w:hAnsi="Palatino Linotype"/>
        </w:rPr>
        <w:lastRenderedPageBreak/>
        <w:t>currency rates with an</w:t>
      </w:r>
      <w:r w:rsidR="00C340F5">
        <w:rPr>
          <w:rFonts w:ascii="Palatino Linotype" w:eastAsiaTheme="minorHAnsi" w:hAnsi="Palatino Linotype"/>
        </w:rPr>
        <w:t xml:space="preserve"> </w:t>
      </w:r>
      <w:r w:rsidRPr="00C340F5">
        <w:rPr>
          <w:rFonts w:ascii="Palatino Linotype" w:eastAsiaTheme="minorHAnsi" w:hAnsi="Palatino Linotype"/>
        </w:rPr>
        <w:t>associated impact on the economy's external reserves. In an emerging country such as Nigeria, the monetary authority tries to hold enough reserves to control the value of the naira from depreciating. It must be stressed that external reserves are mostly valued in foreign currencies such as the United States dollar, the British pounds Sterling, the Japanese Yen, Euro and many other currencies. On the one hand, external reserves act as a cushion against shock, especially for a country like Nigeria whose main export is crude oil and prices are controlled by the global market demand and supply. In most countries, the apex bank usually manipulates the exchange rates through buying and selling of foreign currencies to stabilize the value of the local currency. In a period of instability in crude oil prices, the naira exchange rate is severely affected resulting in economic challenges. However, external reserves is the saving for the rainy day in a period of drastic revenue turn down and such are used to meet  international payment obligations that are paid in foreign currencies (</w:t>
      </w:r>
      <w:proofErr w:type="spellStart"/>
      <w:r w:rsidRPr="00C340F5">
        <w:rPr>
          <w:rFonts w:ascii="Palatino Linotype" w:eastAsiaTheme="minorHAnsi" w:hAnsi="Palatino Linotype"/>
        </w:rPr>
        <w:t>Akinwunmi</w:t>
      </w:r>
      <w:proofErr w:type="spellEnd"/>
      <w:r w:rsidR="00C340F5">
        <w:rPr>
          <w:rFonts w:ascii="Palatino Linotype" w:eastAsiaTheme="minorHAnsi" w:hAnsi="Palatino Linotype"/>
        </w:rPr>
        <w:t xml:space="preserve"> </w:t>
      </w:r>
      <w:r w:rsidRPr="00C340F5">
        <w:rPr>
          <w:rFonts w:ascii="Palatino Linotype" w:eastAsiaTheme="minorHAnsi" w:hAnsi="Palatino Linotype"/>
        </w:rPr>
        <w:t>&amp;</w:t>
      </w:r>
      <w:r w:rsidR="00C340F5">
        <w:rPr>
          <w:rFonts w:ascii="Palatino Linotype" w:eastAsiaTheme="minorHAnsi" w:hAnsi="Palatino Linotype"/>
        </w:rPr>
        <w:t xml:space="preserve"> </w:t>
      </w:r>
      <w:proofErr w:type="spellStart"/>
      <w:r w:rsidRPr="00C340F5">
        <w:rPr>
          <w:rFonts w:ascii="Palatino Linotype" w:eastAsiaTheme="minorHAnsi" w:hAnsi="Palatino Linotype"/>
        </w:rPr>
        <w:t>Adekoya</w:t>
      </w:r>
      <w:proofErr w:type="spellEnd"/>
      <w:r w:rsidRPr="00C340F5">
        <w:rPr>
          <w:rFonts w:ascii="Palatino Linotype" w:eastAsiaTheme="minorHAnsi" w:hAnsi="Palatino Linotype"/>
        </w:rPr>
        <w:t>, 2016).</w:t>
      </w:r>
    </w:p>
    <w:p w:rsidR="00C340F5" w:rsidRPr="00C340F5" w:rsidRDefault="00C340F5" w:rsidP="00C340F5">
      <w:pPr>
        <w:pStyle w:val="NoSpacing"/>
        <w:jc w:val="both"/>
        <w:rPr>
          <w:rFonts w:ascii="Palatino Linotype" w:eastAsiaTheme="minorHAnsi" w:hAnsi="Palatino Linotype"/>
        </w:rPr>
      </w:pPr>
    </w:p>
    <w:p w:rsidR="00A81540" w:rsidRDefault="00A81540" w:rsidP="00C340F5">
      <w:pPr>
        <w:pStyle w:val="NoSpacing"/>
        <w:jc w:val="both"/>
        <w:rPr>
          <w:rFonts w:ascii="Palatino Linotype" w:eastAsiaTheme="minorHAnsi" w:hAnsi="Palatino Linotype"/>
        </w:rPr>
      </w:pPr>
      <w:proofErr w:type="spellStart"/>
      <w:r w:rsidRPr="00C340F5">
        <w:rPr>
          <w:rFonts w:ascii="Palatino Linotype" w:eastAsiaTheme="minorHAnsi" w:hAnsi="Palatino Linotype"/>
        </w:rPr>
        <w:t>Ojiako</w:t>
      </w:r>
      <w:proofErr w:type="spellEnd"/>
      <w:r w:rsidRPr="00C340F5">
        <w:rPr>
          <w:rFonts w:ascii="Palatino Linotype" w:eastAsiaTheme="minorHAnsi" w:hAnsi="Palatino Linotype"/>
        </w:rPr>
        <w:t xml:space="preserve"> (2020) indicated</w:t>
      </w:r>
      <w:r w:rsidR="00C340F5">
        <w:rPr>
          <w:rFonts w:ascii="Palatino Linotype" w:eastAsiaTheme="minorHAnsi" w:hAnsi="Palatino Linotype"/>
        </w:rPr>
        <w:t xml:space="preserve"> </w:t>
      </w:r>
      <w:r w:rsidRPr="00C340F5">
        <w:rPr>
          <w:rFonts w:ascii="Palatino Linotype" w:eastAsiaTheme="minorHAnsi" w:hAnsi="Palatino Linotype"/>
        </w:rPr>
        <w:t>some benefits that a country such as Nigeria stands to benefit from external reserves accumulation</w:t>
      </w:r>
      <w:r w:rsidR="00C340F5">
        <w:rPr>
          <w:rFonts w:ascii="Palatino Linotype" w:eastAsiaTheme="minorHAnsi" w:hAnsi="Palatino Linotype"/>
        </w:rPr>
        <w:t xml:space="preserve"> </w:t>
      </w:r>
      <w:r w:rsidRPr="00C340F5">
        <w:rPr>
          <w:rFonts w:ascii="Palatino Linotype" w:eastAsiaTheme="minorHAnsi" w:hAnsi="Palatino Linotype"/>
        </w:rPr>
        <w:t>including but not limited to the settlement of foreign trade transactions in the balance of trade and balance of payments, cushioning the effect of shocks caused by volatility in oil price at the global market, holding the country’s Sovereign Wealth Fund (SWF) and improving the purchasing power of the naira to prevent it from avoidable depreciation.</w:t>
      </w:r>
    </w:p>
    <w:p w:rsidR="00C340F5" w:rsidRPr="00C340F5" w:rsidRDefault="00C340F5" w:rsidP="00C340F5">
      <w:pPr>
        <w:pStyle w:val="NoSpacing"/>
        <w:jc w:val="both"/>
        <w:rPr>
          <w:rFonts w:ascii="Palatino Linotype" w:eastAsiaTheme="minorHAnsi" w:hAnsi="Palatino Linotype"/>
        </w:rPr>
      </w:pPr>
    </w:p>
    <w:p w:rsidR="00A81540" w:rsidRDefault="00A81540" w:rsidP="00C340F5">
      <w:pPr>
        <w:pStyle w:val="NoSpacing"/>
        <w:jc w:val="both"/>
        <w:rPr>
          <w:rFonts w:ascii="Palatino Linotype" w:eastAsiaTheme="minorHAnsi" w:hAnsi="Palatino Linotype"/>
        </w:rPr>
      </w:pPr>
      <w:proofErr w:type="spellStart"/>
      <w:r w:rsidRPr="00C340F5">
        <w:rPr>
          <w:rFonts w:ascii="Palatino Linotype" w:eastAsiaTheme="minorHAnsi" w:hAnsi="Palatino Linotype"/>
        </w:rPr>
        <w:t>Egbulonu</w:t>
      </w:r>
      <w:proofErr w:type="spellEnd"/>
      <w:r w:rsidRPr="00C340F5">
        <w:rPr>
          <w:rFonts w:ascii="Palatino Linotype" w:eastAsiaTheme="minorHAnsi" w:hAnsi="Palatino Linotype"/>
        </w:rPr>
        <w:t xml:space="preserve"> and </w:t>
      </w:r>
      <w:proofErr w:type="spellStart"/>
      <w:r w:rsidRPr="00C340F5">
        <w:rPr>
          <w:rFonts w:ascii="Palatino Linotype" w:eastAsiaTheme="minorHAnsi" w:hAnsi="Palatino Linotype"/>
        </w:rPr>
        <w:t>Akamike</w:t>
      </w:r>
      <w:proofErr w:type="spellEnd"/>
      <w:r w:rsidRPr="00C340F5">
        <w:rPr>
          <w:rFonts w:ascii="Palatino Linotype" w:eastAsiaTheme="minorHAnsi" w:hAnsi="Palatino Linotype"/>
        </w:rPr>
        <w:t xml:space="preserve"> (2018) indicated that the decision to hoard foreign reserves is as result of the prevailing circumstances in the Nigerian economy as it does not make sense to keep scarce resources as a reserve when indeed significant sectors like road network, education, health as well as agriculture need to be attended to domestically. There are various reasons why countries hold external reserves but generally as a hedge against the rainy day. According to the International Monetary Fund (IMF), one of the reasons is to enable a country's financial balance of payment disequilibrium thereby stabilizing its exchange rate for sound macroeconomic objectives. Essentially, a country's level of external reserve provides a liquidity buffer against a market crash that may occur on the global financial stage (</w:t>
      </w:r>
      <w:proofErr w:type="spellStart"/>
      <w:r w:rsidRPr="00C340F5">
        <w:rPr>
          <w:rFonts w:ascii="Palatino Linotype" w:eastAsiaTheme="minorHAnsi" w:hAnsi="Palatino Linotype"/>
        </w:rPr>
        <w:t>Nwosa</w:t>
      </w:r>
      <w:proofErr w:type="spellEnd"/>
      <w:r w:rsidRPr="00C340F5">
        <w:rPr>
          <w:rFonts w:ascii="Palatino Linotype" w:eastAsiaTheme="minorHAnsi" w:hAnsi="Palatino Linotype"/>
        </w:rPr>
        <w:t>, 2017).  Although external reserves have a lot of positive impacts on the performance of the economy, the build-up of reserves is not without costs. Such costs become noticeable in areas such as return on foreign exchange reserve which is usually lower than domestic assets returns most especially for the emerging market as well as developing economies, all of which leads to significant loss of income for the central bank with associated impact on the country's economic growth (Mansur, 2013).</w:t>
      </w:r>
    </w:p>
    <w:p w:rsidR="001F0724" w:rsidRPr="00C340F5" w:rsidRDefault="001F0724" w:rsidP="00C340F5">
      <w:pPr>
        <w:pStyle w:val="NoSpacing"/>
        <w:jc w:val="both"/>
        <w:rPr>
          <w:rFonts w:ascii="Palatino Linotype" w:eastAsiaTheme="minorHAnsi" w:hAnsi="Palatino Linotype"/>
        </w:rPr>
      </w:pPr>
    </w:p>
    <w:p w:rsidR="00A81540" w:rsidRPr="00C340F5" w:rsidRDefault="00A81540" w:rsidP="00C340F5">
      <w:pPr>
        <w:spacing w:after="0" w:line="240" w:lineRule="auto"/>
        <w:jc w:val="both"/>
        <w:rPr>
          <w:rFonts w:ascii="Palatino Linotype" w:eastAsiaTheme="minorHAnsi" w:hAnsi="Palatino Linotype"/>
        </w:rPr>
      </w:pPr>
      <w:r w:rsidRPr="00C340F5">
        <w:rPr>
          <w:rFonts w:ascii="Palatino Linotype" w:eastAsiaTheme="minorHAnsi" w:hAnsi="Palatino Linotype"/>
        </w:rPr>
        <w:t>For instance, the level of external reserves in Nigeria in 1986 stood at $1,576.8 million representing an increase of 60.6% over the preceding year. However, the growth rate of external reserves between 1985 and1990 averaged 51.8% while the economic growth rate stood at 5.3%in the same period. In 1991-1995, there was a decline in external reserves to 12.3% and the economic growth rate averaged 1.1%. Similarly, external reserves further deteriorated averaging 3.6% in 2011-2015 while economic growth recorded 4.8%. Meanwhile, the outbreak of covid-19 pandemic further aggravated the growth performance of these key macroeconomic variables in 2020 as external reserves and economic growth rates averaged -15.3% and -1.9% respectively.</w:t>
      </w:r>
    </w:p>
    <w:p w:rsidR="00A81540" w:rsidRDefault="00A81540" w:rsidP="00C340F5">
      <w:pPr>
        <w:spacing w:after="0" w:line="240" w:lineRule="auto"/>
        <w:jc w:val="both"/>
        <w:rPr>
          <w:rFonts w:ascii="Palatino Linotype" w:eastAsiaTheme="minorHAnsi" w:hAnsi="Palatino Linotype"/>
        </w:rPr>
      </w:pPr>
      <w:r w:rsidRPr="00C340F5">
        <w:rPr>
          <w:rFonts w:ascii="Palatino Linotype" w:eastAsiaTheme="minorHAnsi" w:hAnsi="Palatino Linotype"/>
        </w:rPr>
        <w:lastRenderedPageBreak/>
        <w:t xml:space="preserve">The level of foreign exchange reserves in Nigeria has witnessed fluctuations in the last few decades. Specifically, the downward trend in the eternal reserves has been attributed to the significant reduction in foreign exchange inflow into the economy which of course is predicated on the sustained low crude oil prices thereby threatening the country's macroeconomic stability. Accordingly, low oil price implies declining oil revenues and a reduction in foreign exchange receipts and as a consequence, the level of external reserves over the years has dwindled. This is why </w:t>
      </w:r>
      <w:proofErr w:type="spellStart"/>
      <w:r w:rsidRPr="00C340F5">
        <w:rPr>
          <w:rFonts w:ascii="Palatino Linotype" w:eastAsiaTheme="minorHAnsi" w:hAnsi="Palatino Linotype"/>
        </w:rPr>
        <w:t>Ditimi</w:t>
      </w:r>
      <w:proofErr w:type="spellEnd"/>
      <w:r w:rsidRPr="00C340F5">
        <w:rPr>
          <w:rFonts w:ascii="Palatino Linotype" w:eastAsiaTheme="minorHAnsi" w:hAnsi="Palatino Linotype"/>
        </w:rPr>
        <w:t xml:space="preserve">, </w:t>
      </w:r>
      <w:proofErr w:type="spellStart"/>
      <w:r w:rsidRPr="00C340F5">
        <w:rPr>
          <w:rFonts w:ascii="Palatino Linotype" w:eastAsiaTheme="minorHAnsi" w:hAnsi="Palatino Linotype"/>
        </w:rPr>
        <w:t>Nwosa</w:t>
      </w:r>
      <w:proofErr w:type="spellEnd"/>
      <w:r w:rsidRPr="00C340F5">
        <w:rPr>
          <w:rFonts w:ascii="Palatino Linotype" w:eastAsiaTheme="minorHAnsi" w:hAnsi="Palatino Linotype"/>
        </w:rPr>
        <w:t xml:space="preserve"> and Michelle (2011) observe that Nigeria is not close to anywhere in the realization of the potential for growth and poverty reduction since the country's Gross Domestic Product (GDP) is more often than not on a downward trend with increasing unemployment rate while there is underutilization of installed capacity.</w:t>
      </w:r>
    </w:p>
    <w:p w:rsidR="001F0724" w:rsidRPr="00C340F5" w:rsidRDefault="001F0724" w:rsidP="00C340F5">
      <w:pPr>
        <w:spacing w:after="0" w:line="240" w:lineRule="auto"/>
        <w:jc w:val="both"/>
        <w:rPr>
          <w:rFonts w:ascii="Palatino Linotype" w:eastAsiaTheme="minorHAnsi" w:hAnsi="Palatino Linotype"/>
        </w:rPr>
      </w:pPr>
    </w:p>
    <w:p w:rsidR="00A81540" w:rsidRDefault="00A81540" w:rsidP="00C340F5">
      <w:pPr>
        <w:spacing w:after="0" w:line="240" w:lineRule="auto"/>
        <w:jc w:val="both"/>
        <w:rPr>
          <w:rFonts w:ascii="Palatino Linotype" w:eastAsiaTheme="minorHAnsi" w:hAnsi="Palatino Linotype"/>
        </w:rPr>
      </w:pPr>
      <w:r w:rsidRPr="00C340F5">
        <w:rPr>
          <w:rFonts w:ascii="Palatino Linotype" w:eastAsiaTheme="minorHAnsi" w:hAnsi="Palatino Linotype"/>
        </w:rPr>
        <w:t>Several extant studies carried out in the literature had stirred a series of controversies among economists as to the necessity of stabilization policies needed to guarantee stable performance in key macroeconomic variables such as the GDP, unemployment, exchange rate, interest rate inflation rate and so on (</w:t>
      </w:r>
      <w:proofErr w:type="spellStart"/>
      <w:r w:rsidRPr="00C340F5">
        <w:rPr>
          <w:rFonts w:ascii="Palatino Linotype" w:eastAsiaTheme="minorHAnsi" w:hAnsi="Palatino Linotype"/>
        </w:rPr>
        <w:t>Abere&amp;Akinbobola</w:t>
      </w:r>
      <w:proofErr w:type="spellEnd"/>
      <w:r w:rsidRPr="00C340F5">
        <w:rPr>
          <w:rFonts w:ascii="Palatino Linotype" w:eastAsiaTheme="minorHAnsi" w:hAnsi="Palatino Linotype"/>
        </w:rPr>
        <w:t>, 2020). The monetarists led by Freedman postulated that an economy is usually stable so advocating for further stabilization policies is unnecessary. While the non-monetarists proposed that instability is inevitable in any economy and that active stabilization is required to provide leeway (Modigliani, 1988). Meanwhile, despite the enormous volume of research in the field, neither the neoclassical nor the monetarists could proffer workable explanations for the less than satisfactory performance of macroeconomic variables in Nigeria in which external reserves is relatively more pronounced. Accordingly, the optimal performance required for the market economy suffers from a lack of effective policy coordination. Essentially, there is a lack of consensus in the extant literature concerning the impact of external reserves on economic growth in which some authors have pointed out a positive relationship (</w:t>
      </w:r>
      <w:proofErr w:type="spellStart"/>
      <w:r w:rsidRPr="00C340F5">
        <w:rPr>
          <w:rFonts w:ascii="Palatino Linotype" w:hAnsi="Palatino Linotype"/>
        </w:rPr>
        <w:t>Ifurueze</w:t>
      </w:r>
      <w:proofErr w:type="spellEnd"/>
      <w:r w:rsidRPr="00C340F5">
        <w:rPr>
          <w:rFonts w:ascii="Palatino Linotype" w:hAnsi="Palatino Linotype"/>
        </w:rPr>
        <w:t>, 2014</w:t>
      </w:r>
      <w:proofErr w:type="gramStart"/>
      <w:r w:rsidRPr="00C340F5">
        <w:rPr>
          <w:rFonts w:ascii="Palatino Linotype" w:hAnsi="Palatino Linotype"/>
        </w:rPr>
        <w:t>;</w:t>
      </w:r>
      <w:r w:rsidRPr="00C340F5">
        <w:rPr>
          <w:rFonts w:ascii="Palatino Linotype" w:eastAsiaTheme="minorHAnsi" w:hAnsi="Palatino Linotype"/>
        </w:rPr>
        <w:t>Nwosa</w:t>
      </w:r>
      <w:proofErr w:type="gramEnd"/>
      <w:r w:rsidRPr="00C340F5">
        <w:rPr>
          <w:rFonts w:ascii="Palatino Linotype" w:eastAsiaTheme="minorHAnsi" w:hAnsi="Palatino Linotype"/>
        </w:rPr>
        <w:t xml:space="preserve">, 2017; </w:t>
      </w:r>
      <w:proofErr w:type="spellStart"/>
      <w:r w:rsidRPr="00C340F5">
        <w:rPr>
          <w:rFonts w:ascii="Palatino Linotype" w:eastAsiaTheme="minorHAnsi" w:hAnsi="Palatino Linotype"/>
        </w:rPr>
        <w:t>Egbulonu&amp;Akamike</w:t>
      </w:r>
      <w:proofErr w:type="spellEnd"/>
      <w:r w:rsidRPr="00C340F5">
        <w:rPr>
          <w:rFonts w:ascii="Palatino Linotype" w:eastAsiaTheme="minorHAnsi" w:hAnsi="Palatino Linotype"/>
        </w:rPr>
        <w:t>, 2018). Other groups of authors found a negative relationship (</w:t>
      </w:r>
      <w:proofErr w:type="spellStart"/>
      <w:r w:rsidRPr="00C340F5">
        <w:rPr>
          <w:rFonts w:ascii="Palatino Linotype" w:hAnsi="Palatino Linotype"/>
        </w:rPr>
        <w:t>Osuji&amp;Ebiringa</w:t>
      </w:r>
      <w:proofErr w:type="spellEnd"/>
      <w:r w:rsidRPr="00C340F5">
        <w:rPr>
          <w:rFonts w:ascii="Palatino Linotype" w:hAnsi="Palatino Linotype"/>
        </w:rPr>
        <w:t xml:space="preserve">, 2012; </w:t>
      </w:r>
      <w:proofErr w:type="spellStart"/>
      <w:r w:rsidRPr="00C340F5">
        <w:rPr>
          <w:rFonts w:ascii="Palatino Linotype" w:eastAsiaTheme="minorHAnsi" w:hAnsi="Palatino Linotype"/>
        </w:rPr>
        <w:t>Eniekezimene&amp;Apere</w:t>
      </w:r>
      <w:proofErr w:type="spellEnd"/>
      <w:r w:rsidRPr="00C340F5">
        <w:rPr>
          <w:rFonts w:ascii="Palatino Linotype" w:eastAsiaTheme="minorHAnsi" w:hAnsi="Palatino Linotype"/>
        </w:rPr>
        <w:t xml:space="preserve">, 2016; </w:t>
      </w:r>
      <w:proofErr w:type="spellStart"/>
      <w:r w:rsidRPr="00C340F5">
        <w:rPr>
          <w:rFonts w:ascii="Palatino Linotype" w:eastAsiaTheme="minorHAnsi" w:hAnsi="Palatino Linotype"/>
        </w:rPr>
        <w:t>Ojiako</w:t>
      </w:r>
      <w:proofErr w:type="spellEnd"/>
      <w:r w:rsidRPr="00C340F5">
        <w:rPr>
          <w:rFonts w:ascii="Palatino Linotype" w:eastAsiaTheme="minorHAnsi" w:hAnsi="Palatino Linotype"/>
        </w:rPr>
        <w:t>, 2020) while some others could not find evidence of the relationship between the variables (</w:t>
      </w:r>
      <w:proofErr w:type="spellStart"/>
      <w:r w:rsidRPr="00C340F5">
        <w:rPr>
          <w:rFonts w:ascii="Palatino Linotype" w:eastAsiaTheme="minorHAnsi" w:hAnsi="Palatino Linotype"/>
        </w:rPr>
        <w:t>Nwafor</w:t>
      </w:r>
      <w:proofErr w:type="spellEnd"/>
      <w:r w:rsidRPr="00C340F5">
        <w:rPr>
          <w:rFonts w:ascii="Palatino Linotype" w:eastAsiaTheme="minorHAnsi" w:hAnsi="Palatino Linotype"/>
        </w:rPr>
        <w:t>, 2017</w:t>
      </w:r>
      <w:proofErr w:type="gramStart"/>
      <w:r w:rsidRPr="00C340F5">
        <w:rPr>
          <w:rFonts w:ascii="Palatino Linotype" w:eastAsiaTheme="minorHAnsi" w:hAnsi="Palatino Linotype"/>
        </w:rPr>
        <w:t>;</w:t>
      </w:r>
      <w:r w:rsidRPr="00C340F5">
        <w:rPr>
          <w:rFonts w:ascii="Palatino Linotype" w:hAnsi="Palatino Linotype"/>
        </w:rPr>
        <w:t>Fapetu</w:t>
      </w:r>
      <w:proofErr w:type="gramEnd"/>
      <w:r w:rsidRPr="00C340F5">
        <w:rPr>
          <w:rFonts w:ascii="Palatino Linotype" w:hAnsi="Palatino Linotype"/>
        </w:rPr>
        <w:t>&amp;Oloyede, 2014</w:t>
      </w:r>
      <w:r w:rsidRPr="00C340F5">
        <w:rPr>
          <w:rFonts w:ascii="Palatino Linotype" w:eastAsiaTheme="minorHAnsi" w:hAnsi="Palatino Linotype"/>
        </w:rPr>
        <w:t>). Thus, there is an ongoing debate in this regard.</w:t>
      </w:r>
    </w:p>
    <w:p w:rsidR="001F0724" w:rsidRPr="00C340F5" w:rsidRDefault="001F0724" w:rsidP="00C340F5">
      <w:pPr>
        <w:spacing w:after="0" w:line="240" w:lineRule="auto"/>
        <w:jc w:val="both"/>
        <w:rPr>
          <w:rFonts w:ascii="Palatino Linotype" w:eastAsiaTheme="minorHAnsi" w:hAnsi="Palatino Linotype"/>
        </w:rPr>
      </w:pPr>
    </w:p>
    <w:p w:rsidR="00A81540" w:rsidRDefault="00A81540" w:rsidP="00C340F5">
      <w:pPr>
        <w:spacing w:after="0" w:line="240" w:lineRule="auto"/>
        <w:jc w:val="both"/>
        <w:rPr>
          <w:rFonts w:ascii="Palatino Linotype" w:eastAsiaTheme="minorHAnsi" w:hAnsi="Palatino Linotype"/>
        </w:rPr>
      </w:pPr>
      <w:r w:rsidRPr="00C340F5">
        <w:rPr>
          <w:rFonts w:ascii="Palatino Linotype" w:eastAsiaTheme="minorHAnsi" w:hAnsi="Palatino Linotype"/>
        </w:rPr>
        <w:t>The above observations from the available studies suggest that it is not yet clear whether the level of less than satisfactory external reserves, rising unemployment, exchange rate or issues in several other macroeconomic fundamentals are the cause of GDP fluctuations in Nigeria. It is against this backdrop that the current paper is germane.  The objective of the paper, therefore, is to evaluate the impact of foreign exchange reserves on the country's economic growth.</w:t>
      </w:r>
      <w:r w:rsidR="001F0724">
        <w:rPr>
          <w:rFonts w:ascii="Palatino Linotype" w:eastAsiaTheme="minorHAnsi" w:hAnsi="Palatino Linotype"/>
        </w:rPr>
        <w:t xml:space="preserve"> </w:t>
      </w:r>
      <w:r w:rsidRPr="00C340F5">
        <w:rPr>
          <w:rFonts w:ascii="Palatino Linotype" w:eastAsiaTheme="minorHAnsi" w:hAnsi="Palatino Linotype"/>
        </w:rPr>
        <w:t>Following introductory section one is</w:t>
      </w:r>
      <w:r w:rsidR="001F0724">
        <w:rPr>
          <w:rFonts w:ascii="Palatino Linotype" w:eastAsiaTheme="minorHAnsi" w:hAnsi="Palatino Linotype"/>
        </w:rPr>
        <w:t xml:space="preserve"> </w:t>
      </w:r>
      <w:r w:rsidRPr="00C340F5">
        <w:rPr>
          <w:rFonts w:ascii="Palatino Linotype" w:eastAsiaTheme="minorHAnsi" w:hAnsi="Palatino Linotype"/>
        </w:rPr>
        <w:t>section two containing related literature in the context of conceptual, theoretical and empirical issues. While section three is the model and technique of analysis, the presentation of the findings is in section four. Finally, section five contains the concluding remarks.</w:t>
      </w:r>
    </w:p>
    <w:p w:rsidR="001F0724" w:rsidRPr="00C340F5" w:rsidRDefault="001F0724" w:rsidP="00C340F5">
      <w:pPr>
        <w:spacing w:after="0" w:line="240" w:lineRule="auto"/>
        <w:jc w:val="both"/>
        <w:rPr>
          <w:rFonts w:ascii="Palatino Linotype" w:eastAsiaTheme="minorHAnsi" w:hAnsi="Palatino Linotype"/>
        </w:rPr>
      </w:pPr>
    </w:p>
    <w:p w:rsidR="00A81540" w:rsidRPr="00C340F5" w:rsidRDefault="00A81540" w:rsidP="00C340F5">
      <w:pPr>
        <w:spacing w:after="0" w:line="240" w:lineRule="auto"/>
        <w:jc w:val="both"/>
        <w:rPr>
          <w:rFonts w:ascii="Palatino Linotype" w:eastAsiaTheme="minorHAnsi" w:hAnsi="Palatino Linotype"/>
          <w:b/>
        </w:rPr>
      </w:pPr>
      <w:r w:rsidRPr="00C340F5">
        <w:rPr>
          <w:rFonts w:ascii="Palatino Linotype" w:eastAsiaTheme="minorHAnsi" w:hAnsi="Palatino Linotype"/>
          <w:b/>
        </w:rPr>
        <w:t>2.    Review of Literature</w:t>
      </w:r>
    </w:p>
    <w:p w:rsidR="00A81540" w:rsidRPr="00C340F5" w:rsidRDefault="00A81540" w:rsidP="00C340F5">
      <w:pPr>
        <w:spacing w:after="0" w:line="240" w:lineRule="auto"/>
        <w:jc w:val="both"/>
        <w:rPr>
          <w:rFonts w:ascii="Palatino Linotype" w:eastAsiaTheme="minorHAnsi" w:hAnsi="Palatino Linotype"/>
          <w:b/>
        </w:rPr>
      </w:pPr>
      <w:r w:rsidRPr="00C340F5">
        <w:rPr>
          <w:rFonts w:ascii="Palatino Linotype" w:eastAsiaTheme="minorHAnsi" w:hAnsi="Palatino Linotype"/>
          <w:b/>
        </w:rPr>
        <w:t>2.1 Conceptual issues</w:t>
      </w:r>
    </w:p>
    <w:p w:rsidR="001F0724" w:rsidRDefault="00A81540" w:rsidP="00C340F5">
      <w:pPr>
        <w:spacing w:after="0" w:line="240" w:lineRule="auto"/>
        <w:jc w:val="both"/>
        <w:rPr>
          <w:rFonts w:ascii="Palatino Linotype" w:eastAsiaTheme="minorHAnsi" w:hAnsi="Palatino Linotype"/>
        </w:rPr>
      </w:pPr>
      <w:r w:rsidRPr="00C340F5">
        <w:rPr>
          <w:rFonts w:ascii="Palatino Linotype" w:eastAsiaTheme="minorHAnsi" w:hAnsi="Palatino Linotype"/>
        </w:rPr>
        <w:t xml:space="preserve">External reserves as has been defined by the IMF (2009) as foreign currency deposits of central banks or other monetary authorities. The central banks of any economy control the assets which are held in different currencies as reserves like the United States Dollar, the British </w:t>
      </w:r>
      <w:r w:rsidRPr="00C340F5">
        <w:rPr>
          <w:rFonts w:ascii="Palatino Linotype" w:eastAsiaTheme="minorHAnsi" w:hAnsi="Palatino Linotype"/>
        </w:rPr>
        <w:lastRenderedPageBreak/>
        <w:t>Pound Sterling, the Euro and the Japanese Yen etc. These currency reserves act as backup for the central bank's liabilities which include local currency issued, the reserves of deposits money banks (DMBs) as well as government or other financial institutions. To this end, foreign exchange held by banks, individuals, government agencies and corporate bodies do not become parts of a country's external reserves (</w:t>
      </w:r>
      <w:proofErr w:type="spellStart"/>
      <w:r w:rsidRPr="00C340F5">
        <w:rPr>
          <w:rFonts w:ascii="Palatino Linotype" w:eastAsiaTheme="minorHAnsi" w:hAnsi="Palatino Linotype"/>
        </w:rPr>
        <w:t>Akinwunmi&amp;Adekoya</w:t>
      </w:r>
      <w:proofErr w:type="spellEnd"/>
      <w:r w:rsidRPr="00C340F5">
        <w:rPr>
          <w:rFonts w:ascii="Palatino Linotype" w:eastAsiaTheme="minorHAnsi" w:hAnsi="Palatino Linotype"/>
        </w:rPr>
        <w:t>, 2016). Notably, over the years nations have made effort to accumulate foreign reserves, an effort which has been seen as a worthy one. This is because a country with reasonable foreign reserves is in a position to influence the exchange rate of the local currency thereby commanding global recognition in the world market (</w:t>
      </w:r>
      <w:proofErr w:type="spellStart"/>
      <w:r w:rsidRPr="00C340F5">
        <w:rPr>
          <w:rFonts w:ascii="Palatino Linotype" w:eastAsiaTheme="minorHAnsi" w:hAnsi="Palatino Linotype"/>
        </w:rPr>
        <w:t>Nwafor</w:t>
      </w:r>
      <w:proofErr w:type="spellEnd"/>
      <w:r w:rsidRPr="00C340F5">
        <w:rPr>
          <w:rFonts w:ascii="Palatino Linotype" w:eastAsiaTheme="minorHAnsi" w:hAnsi="Palatino Linotype"/>
        </w:rPr>
        <w:t>, 2017). External reserves management therefore can be seen as the strategy adopted by an economy to optimize its external resources thereby making the economy sustainable. In Nigeria, the Central Bank of Nigeria (CBN) is the monetary authority that has the mandate to fine-tune the economy from the aspect of efficient foreign reserves management using such elements as monetary gold, sustainable reserve position at the IMF, holding of special drawing rights (SDRs) as well as other countries' currencies which can be converted through foreign exchange (CBN, 1997).</w:t>
      </w:r>
    </w:p>
    <w:p w:rsidR="00A81540" w:rsidRPr="00C340F5" w:rsidRDefault="00A81540" w:rsidP="00C340F5">
      <w:pPr>
        <w:spacing w:after="0" w:line="240" w:lineRule="auto"/>
        <w:jc w:val="both"/>
        <w:rPr>
          <w:rFonts w:ascii="Palatino Linotype" w:eastAsiaTheme="minorHAnsi" w:hAnsi="Palatino Linotype"/>
        </w:rPr>
      </w:pPr>
      <w:r w:rsidRPr="00C340F5">
        <w:rPr>
          <w:rFonts w:ascii="Palatino Linotype" w:eastAsiaTheme="minorHAnsi" w:hAnsi="Palatino Linotype"/>
        </w:rPr>
        <w:t xml:space="preserve"> </w:t>
      </w:r>
    </w:p>
    <w:p w:rsidR="00A81540" w:rsidRDefault="00A81540" w:rsidP="00C340F5">
      <w:pPr>
        <w:spacing w:after="0" w:line="240" w:lineRule="auto"/>
        <w:jc w:val="both"/>
        <w:rPr>
          <w:rFonts w:ascii="Palatino Linotype" w:eastAsiaTheme="minorHAnsi" w:hAnsi="Palatino Linotype"/>
        </w:rPr>
      </w:pPr>
      <w:proofErr w:type="spellStart"/>
      <w:r w:rsidRPr="00C340F5">
        <w:rPr>
          <w:rFonts w:ascii="Palatino Linotype" w:eastAsiaTheme="minorHAnsi" w:hAnsi="Palatino Linotype"/>
        </w:rPr>
        <w:t>Aluko</w:t>
      </w:r>
      <w:proofErr w:type="spellEnd"/>
      <w:r w:rsidRPr="00C340F5">
        <w:rPr>
          <w:rFonts w:ascii="Palatino Linotype" w:eastAsiaTheme="minorHAnsi" w:hAnsi="Palatino Linotype"/>
        </w:rPr>
        <w:t xml:space="preserve"> (2007) emphasizes the crucial role of external reserves in Nigeria over a couple of years which led to the enhancement of the level of money supply that has made more funds available for investment and productivity. He stated that external reserves made it possible for employment generation, an increase in output resulting in consumption being boosted, all of which led to the improved living standard of the citizens in Nigeria. Also, </w:t>
      </w:r>
      <w:proofErr w:type="spellStart"/>
      <w:r w:rsidRPr="00C340F5">
        <w:rPr>
          <w:rFonts w:ascii="Palatino Linotype" w:eastAsiaTheme="minorHAnsi" w:hAnsi="Palatino Linotype"/>
        </w:rPr>
        <w:t>Obaseki</w:t>
      </w:r>
      <w:proofErr w:type="spellEnd"/>
      <w:r w:rsidRPr="00C340F5">
        <w:rPr>
          <w:rFonts w:ascii="Palatino Linotype" w:eastAsiaTheme="minorHAnsi" w:hAnsi="Palatino Linotype"/>
        </w:rPr>
        <w:t xml:space="preserve"> (2007) indicated that external obligations among countries can only be settled in foreign exchange thereby making stocks of reserves not only necessary but a sufficient condition for the financing of external imbalances. While, </w:t>
      </w:r>
      <w:proofErr w:type="spellStart"/>
      <w:r w:rsidRPr="00C340F5">
        <w:rPr>
          <w:rFonts w:ascii="Palatino Linotype" w:eastAsiaTheme="minorHAnsi" w:hAnsi="Palatino Linotype"/>
        </w:rPr>
        <w:t>Nwafor</w:t>
      </w:r>
      <w:proofErr w:type="spellEnd"/>
      <w:r w:rsidRPr="00C340F5">
        <w:rPr>
          <w:rFonts w:ascii="Palatino Linotype" w:eastAsiaTheme="minorHAnsi" w:hAnsi="Palatino Linotype"/>
        </w:rPr>
        <w:t xml:space="preserve"> (2017) viewed external reserves as a tool that could</w:t>
      </w:r>
      <w:r w:rsidR="001F0724">
        <w:rPr>
          <w:rFonts w:ascii="Palatino Linotype" w:eastAsiaTheme="minorHAnsi" w:hAnsi="Palatino Linotype"/>
        </w:rPr>
        <w:t xml:space="preserve"> </w:t>
      </w:r>
      <w:r w:rsidRPr="00C340F5">
        <w:rPr>
          <w:rFonts w:ascii="Palatino Linotype" w:eastAsiaTheme="minorHAnsi" w:hAnsi="Palatino Linotype"/>
        </w:rPr>
        <w:t>be used to intervene in the foreign exchange market, prevent unnecessary volatility as well as ensure adequate conservation of the country's natural wealth for generations yet unborn.</w:t>
      </w:r>
    </w:p>
    <w:p w:rsidR="001F0724" w:rsidRPr="00C340F5" w:rsidRDefault="001F0724" w:rsidP="00C340F5">
      <w:pPr>
        <w:spacing w:after="0" w:line="240" w:lineRule="auto"/>
        <w:jc w:val="both"/>
        <w:rPr>
          <w:rFonts w:ascii="Palatino Linotype" w:eastAsiaTheme="minorHAnsi" w:hAnsi="Palatino Linotype"/>
        </w:rPr>
      </w:pPr>
    </w:p>
    <w:p w:rsidR="00A81540" w:rsidRPr="00C340F5" w:rsidRDefault="00A81540" w:rsidP="00C340F5">
      <w:pPr>
        <w:spacing w:after="0" w:line="240" w:lineRule="auto"/>
        <w:jc w:val="both"/>
        <w:rPr>
          <w:rFonts w:ascii="Palatino Linotype" w:eastAsiaTheme="minorHAnsi" w:hAnsi="Palatino Linotype"/>
          <w:b/>
        </w:rPr>
      </w:pPr>
      <w:r w:rsidRPr="00C340F5">
        <w:rPr>
          <w:rFonts w:ascii="Palatino Linotype" w:eastAsiaTheme="minorHAnsi" w:hAnsi="Palatino Linotype"/>
          <w:b/>
        </w:rPr>
        <w:t>2.2 Theoretical literature</w:t>
      </w:r>
    </w:p>
    <w:p w:rsidR="00A81540" w:rsidRDefault="00A81540" w:rsidP="00C340F5">
      <w:pPr>
        <w:spacing w:after="0" w:line="240" w:lineRule="auto"/>
        <w:jc w:val="both"/>
        <w:rPr>
          <w:rFonts w:ascii="Palatino Linotype" w:eastAsiaTheme="minorHAnsi" w:hAnsi="Palatino Linotype"/>
        </w:rPr>
      </w:pPr>
      <w:r w:rsidRPr="00C340F5">
        <w:rPr>
          <w:rFonts w:ascii="Palatino Linotype" w:eastAsiaTheme="minorHAnsi" w:hAnsi="Palatino Linotype"/>
        </w:rPr>
        <w:t xml:space="preserve">The theoretical underpinning of the external reserve is anchored on different strides of the literature, some of which include the precautionary theory, the mercantilist theory, the neoclassical theory led by Solow (1956) as well as the endogenous growth theory of </w:t>
      </w:r>
      <w:proofErr w:type="spellStart"/>
      <w:r w:rsidRPr="00C340F5">
        <w:rPr>
          <w:rFonts w:ascii="Palatino Linotype" w:eastAsiaTheme="minorHAnsi" w:hAnsi="Palatino Linotype"/>
        </w:rPr>
        <w:t>Romer</w:t>
      </w:r>
      <w:proofErr w:type="spellEnd"/>
      <w:r w:rsidRPr="00C340F5">
        <w:rPr>
          <w:rFonts w:ascii="Palatino Linotype" w:eastAsiaTheme="minorHAnsi" w:hAnsi="Palatino Linotype"/>
        </w:rPr>
        <w:t xml:space="preserve"> (1990). From the precautionary perspective, the accumulation of foreign reserves could be directly linked to capital flight, sudden stops and volatility. But mercantilists view</w:t>
      </w:r>
      <w:r w:rsidR="001F0724">
        <w:rPr>
          <w:rFonts w:ascii="Palatino Linotype" w:eastAsiaTheme="minorHAnsi" w:hAnsi="Palatino Linotype"/>
        </w:rPr>
        <w:t xml:space="preserve"> </w:t>
      </w:r>
      <w:r w:rsidRPr="00C340F5">
        <w:rPr>
          <w:rFonts w:ascii="Palatino Linotype" w:eastAsiaTheme="minorHAnsi" w:hAnsi="Palatino Linotype"/>
        </w:rPr>
        <w:t>foreign reserves as a residual of an accumulated industrial policy where negative externalities are imposed on other trading partners (</w:t>
      </w:r>
      <w:proofErr w:type="spellStart"/>
      <w:r w:rsidRPr="00C340F5">
        <w:rPr>
          <w:rFonts w:ascii="Palatino Linotype" w:eastAsiaTheme="minorHAnsi" w:hAnsi="Palatino Linotype"/>
        </w:rPr>
        <w:t>Aizenman</w:t>
      </w:r>
      <w:proofErr w:type="spellEnd"/>
      <w:r w:rsidRPr="00C340F5">
        <w:rPr>
          <w:rFonts w:ascii="Palatino Linotype" w:eastAsiaTheme="minorHAnsi" w:hAnsi="Palatino Linotype"/>
        </w:rPr>
        <w:t>&amp; Lee, 2005). The mercantilist model augurs that countries try to accumulate external reserves to ensure effective management in their exchange rate alignment thereby providing a policy tool for the realization of low exchange rates that will promote trade and international competitiveness (</w:t>
      </w:r>
      <w:proofErr w:type="spellStart"/>
      <w:r w:rsidRPr="00C340F5">
        <w:rPr>
          <w:rFonts w:ascii="Palatino Linotype" w:eastAsiaTheme="minorHAnsi" w:hAnsi="Palatino Linotype"/>
        </w:rPr>
        <w:t>Egwakhe</w:t>
      </w:r>
      <w:proofErr w:type="spellEnd"/>
      <w:r w:rsidRPr="00C340F5">
        <w:rPr>
          <w:rFonts w:ascii="Palatino Linotype" w:eastAsiaTheme="minorHAnsi" w:hAnsi="Palatino Linotype"/>
        </w:rPr>
        <w:t>, &amp;</w:t>
      </w:r>
      <w:proofErr w:type="spellStart"/>
      <w:r w:rsidRPr="00C340F5">
        <w:rPr>
          <w:rFonts w:ascii="Palatino Linotype" w:eastAsiaTheme="minorHAnsi" w:hAnsi="Palatino Linotype"/>
        </w:rPr>
        <w:t>Osabuohien</w:t>
      </w:r>
      <w:proofErr w:type="spellEnd"/>
      <w:r w:rsidRPr="00C340F5">
        <w:rPr>
          <w:rFonts w:ascii="Palatino Linotype" w:eastAsiaTheme="minorHAnsi" w:hAnsi="Palatino Linotype"/>
        </w:rPr>
        <w:t>, 2008). Also, the quest for the accumulation of foreign reserves in many countries is because they want to prevent a situation where the real exchange rate does not gain unnecessary appreciation which could hamper capital inflows. The core belief of the mercantilist is that overvaluation of the exchange rate should be avoided so as not to generate downside risks thereby ensuring competitiveness in international trade (</w:t>
      </w:r>
      <w:proofErr w:type="spellStart"/>
      <w:r w:rsidRPr="00C340F5">
        <w:rPr>
          <w:rFonts w:ascii="Palatino Linotype" w:eastAsiaTheme="minorHAnsi" w:hAnsi="Palatino Linotype"/>
        </w:rPr>
        <w:t>Aizenman</w:t>
      </w:r>
      <w:proofErr w:type="spellEnd"/>
      <w:r w:rsidRPr="00C340F5">
        <w:rPr>
          <w:rFonts w:ascii="Palatino Linotype" w:eastAsiaTheme="minorHAnsi" w:hAnsi="Palatino Linotype"/>
        </w:rPr>
        <w:t>&amp; Lee, 2005).</w:t>
      </w:r>
      <w:r w:rsidR="001F0724">
        <w:rPr>
          <w:rFonts w:ascii="Palatino Linotype" w:eastAsiaTheme="minorHAnsi" w:hAnsi="Palatino Linotype"/>
        </w:rPr>
        <w:t xml:space="preserve"> </w:t>
      </w:r>
    </w:p>
    <w:p w:rsidR="001F0724" w:rsidRPr="00C340F5" w:rsidRDefault="001F0724" w:rsidP="00C340F5">
      <w:pPr>
        <w:spacing w:after="0" w:line="240" w:lineRule="auto"/>
        <w:jc w:val="both"/>
        <w:rPr>
          <w:rFonts w:ascii="Palatino Linotype" w:eastAsiaTheme="minorHAnsi" w:hAnsi="Palatino Linotype"/>
        </w:rPr>
      </w:pPr>
    </w:p>
    <w:p w:rsidR="00A81540" w:rsidRDefault="00A81540" w:rsidP="00C340F5">
      <w:pPr>
        <w:spacing w:after="0" w:line="240" w:lineRule="auto"/>
        <w:jc w:val="both"/>
        <w:rPr>
          <w:rFonts w:ascii="Palatino Linotype" w:eastAsiaTheme="minorHAnsi" w:hAnsi="Palatino Linotype"/>
        </w:rPr>
      </w:pPr>
      <w:r w:rsidRPr="00C340F5">
        <w:rPr>
          <w:rFonts w:ascii="Palatino Linotype" w:eastAsiaTheme="minorHAnsi" w:hAnsi="Palatino Linotype"/>
        </w:rPr>
        <w:lastRenderedPageBreak/>
        <w:t xml:space="preserve">While, the neoclassical growth model argues that when some elements of development such as identical rate of depreciation, saving rates and population growth are present in some countries such economies tend to experience the same steady state and a convergence tend to result in the long run (Solow, 1956). This opinion held by the theory is occasioned by the fact that growth in poor countries with initial lower income tends to be faster than the level of growth in richer countries. On the other hand, the endogenous growth theorists who were </w:t>
      </w:r>
      <w:proofErr w:type="spellStart"/>
      <w:r w:rsidRPr="00C340F5">
        <w:rPr>
          <w:rFonts w:ascii="Palatino Linotype" w:eastAsiaTheme="minorHAnsi" w:hAnsi="Palatino Linotype"/>
        </w:rPr>
        <w:t>sceptical</w:t>
      </w:r>
      <w:proofErr w:type="spellEnd"/>
      <w:r w:rsidRPr="00C340F5">
        <w:rPr>
          <w:rFonts w:ascii="Palatino Linotype" w:eastAsiaTheme="minorHAnsi" w:hAnsi="Palatino Linotype"/>
        </w:rPr>
        <w:t xml:space="preserve"> of the neoclassical model aver that long-run convergence is not always the case as a result of variation in production functions across countries. Several factors said to be responsible for the differences in variations in the production functions include but are not limited to human capital, technological progress as well as public and social infrastructure including institutional infrastructures such as rule of law. In the view of endogenous growth theory, the economic growth rate is the result of an endogenous factor such as the economic system as against the result of external forces (</w:t>
      </w:r>
      <w:proofErr w:type="spellStart"/>
      <w:r w:rsidRPr="00C340F5">
        <w:rPr>
          <w:rFonts w:ascii="Palatino Linotype" w:eastAsiaTheme="minorHAnsi" w:hAnsi="Palatino Linotype"/>
        </w:rPr>
        <w:t>Romer</w:t>
      </w:r>
      <w:proofErr w:type="spellEnd"/>
      <w:r w:rsidRPr="00C340F5">
        <w:rPr>
          <w:rFonts w:ascii="Palatino Linotype" w:eastAsiaTheme="minorHAnsi" w:hAnsi="Palatino Linotype"/>
        </w:rPr>
        <w:t xml:space="preserve">, 1994). </w:t>
      </w:r>
    </w:p>
    <w:p w:rsidR="001F0724" w:rsidRPr="00C340F5" w:rsidRDefault="001F0724" w:rsidP="00C340F5">
      <w:pPr>
        <w:spacing w:after="0" w:line="240" w:lineRule="auto"/>
        <w:jc w:val="both"/>
        <w:rPr>
          <w:rFonts w:ascii="Palatino Linotype" w:eastAsiaTheme="minorHAnsi" w:hAnsi="Palatino Linotype"/>
        </w:rPr>
      </w:pPr>
    </w:p>
    <w:p w:rsidR="00A81540" w:rsidRPr="00C340F5" w:rsidRDefault="00A81540" w:rsidP="00C340F5">
      <w:pPr>
        <w:spacing w:after="0" w:line="240" w:lineRule="auto"/>
        <w:jc w:val="both"/>
        <w:rPr>
          <w:rFonts w:ascii="Palatino Linotype" w:eastAsiaTheme="minorHAnsi" w:hAnsi="Palatino Linotype"/>
          <w:b/>
        </w:rPr>
      </w:pPr>
      <w:r w:rsidRPr="00C340F5">
        <w:rPr>
          <w:rFonts w:ascii="Palatino Linotype" w:eastAsiaTheme="minorHAnsi" w:hAnsi="Palatino Linotype"/>
          <w:b/>
        </w:rPr>
        <w:t>2.3 Empirical literature</w:t>
      </w:r>
    </w:p>
    <w:p w:rsidR="00A81540" w:rsidRPr="00C340F5" w:rsidRDefault="00A81540" w:rsidP="00C340F5">
      <w:pPr>
        <w:spacing w:after="0" w:line="240" w:lineRule="auto"/>
        <w:jc w:val="both"/>
        <w:rPr>
          <w:rFonts w:ascii="Palatino Linotype" w:eastAsiaTheme="minorHAnsi" w:hAnsi="Palatino Linotype"/>
        </w:rPr>
      </w:pPr>
      <w:r w:rsidRPr="00C340F5">
        <w:rPr>
          <w:rFonts w:ascii="Palatino Linotype" w:eastAsiaTheme="minorHAnsi" w:hAnsi="Palatino Linotype"/>
        </w:rPr>
        <w:t xml:space="preserve">From the empirical corridor, </w:t>
      </w:r>
      <w:proofErr w:type="spellStart"/>
      <w:r w:rsidRPr="00C340F5">
        <w:rPr>
          <w:rFonts w:ascii="Palatino Linotype" w:eastAsiaTheme="minorHAnsi" w:hAnsi="Palatino Linotype"/>
        </w:rPr>
        <w:t>Abdullateef</w:t>
      </w:r>
      <w:proofErr w:type="spellEnd"/>
      <w:r w:rsidRPr="00C340F5">
        <w:rPr>
          <w:rFonts w:ascii="Palatino Linotype" w:eastAsiaTheme="minorHAnsi" w:hAnsi="Palatino Linotype"/>
        </w:rPr>
        <w:t xml:space="preserve"> and </w:t>
      </w:r>
      <w:proofErr w:type="spellStart"/>
      <w:r w:rsidRPr="00C340F5">
        <w:rPr>
          <w:rFonts w:ascii="Palatino Linotype" w:eastAsiaTheme="minorHAnsi" w:hAnsi="Palatino Linotype"/>
        </w:rPr>
        <w:t>Waheed</w:t>
      </w:r>
      <w:proofErr w:type="spellEnd"/>
      <w:r w:rsidRPr="00C340F5">
        <w:rPr>
          <w:rFonts w:ascii="Palatino Linotype" w:eastAsiaTheme="minorHAnsi" w:hAnsi="Palatino Linotype"/>
        </w:rPr>
        <w:t xml:space="preserve"> (2010) examined how changes in external reserve affect domestic investment, inflation rate and exchange rate in Nigeria using vector error correction (VEC) and the OLS method. They observed that external reserves had a significant positive impact on foreign direct investment and exchange rates in Nigeria. </w:t>
      </w:r>
      <w:proofErr w:type="spellStart"/>
      <w:r w:rsidRPr="00C340F5">
        <w:rPr>
          <w:rFonts w:ascii="Palatino Linotype" w:eastAsiaTheme="minorHAnsi" w:hAnsi="Palatino Linotype"/>
        </w:rPr>
        <w:t>Osuji</w:t>
      </w:r>
      <w:proofErr w:type="spellEnd"/>
      <w:r w:rsidRPr="00C340F5">
        <w:rPr>
          <w:rFonts w:ascii="Palatino Linotype" w:eastAsiaTheme="minorHAnsi" w:hAnsi="Palatino Linotype"/>
        </w:rPr>
        <w:t xml:space="preserve"> and </w:t>
      </w:r>
      <w:proofErr w:type="spellStart"/>
      <w:r w:rsidRPr="00C340F5">
        <w:rPr>
          <w:rFonts w:ascii="Palatino Linotype" w:eastAsiaTheme="minorHAnsi" w:hAnsi="Palatino Linotype"/>
        </w:rPr>
        <w:t>Ebiringa</w:t>
      </w:r>
      <w:proofErr w:type="spellEnd"/>
      <w:r w:rsidRPr="00C340F5">
        <w:rPr>
          <w:rFonts w:ascii="Palatino Linotype" w:eastAsiaTheme="minorHAnsi" w:hAnsi="Palatino Linotype"/>
        </w:rPr>
        <w:t xml:space="preserve"> (2012) employed vector autoregressive (VAR), grange causality and ordinary least square (OLS) methods to investigate the degree of the impact that external reserves management had on macroeconomic stability in Nigeria for the period, 1981-2010. Accordingly, their findings indicated evidence of a negative relationship existing between external reserves and macroeconomic instability in Nigeria. In his study on the relationship between economic growth and foreign exchange reserves, </w:t>
      </w:r>
      <w:proofErr w:type="spellStart"/>
      <w:r w:rsidRPr="00C340F5">
        <w:rPr>
          <w:rFonts w:ascii="Palatino Linotype" w:eastAsiaTheme="minorHAnsi" w:hAnsi="Palatino Linotype"/>
        </w:rPr>
        <w:t>Umeora</w:t>
      </w:r>
      <w:proofErr w:type="spellEnd"/>
      <w:r w:rsidRPr="00C340F5">
        <w:rPr>
          <w:rFonts w:ascii="Palatino Linotype" w:eastAsiaTheme="minorHAnsi" w:hAnsi="Palatino Linotype"/>
        </w:rPr>
        <w:t xml:space="preserve"> (2013) using the OLS technique finds that foreign exchange reserves had a great influence on the level of economic growth in Nigeria. The data spans the period, 1986-2011. On his part, </w:t>
      </w:r>
      <w:proofErr w:type="spellStart"/>
      <w:r w:rsidRPr="00C340F5">
        <w:rPr>
          <w:rFonts w:ascii="Palatino Linotype" w:eastAsiaTheme="minorHAnsi" w:hAnsi="Palatino Linotype"/>
        </w:rPr>
        <w:t>Ifurueze</w:t>
      </w:r>
      <w:proofErr w:type="spellEnd"/>
      <w:r w:rsidRPr="00C340F5">
        <w:rPr>
          <w:rFonts w:ascii="Palatino Linotype" w:eastAsiaTheme="minorHAnsi" w:hAnsi="Palatino Linotype"/>
        </w:rPr>
        <w:t xml:space="preserve"> (2014) assesses the response of economic growth to changes in external reserves in Nigeria covering a data period, from 1970-2009. Using the OLS methodology, the study finds that external reserves had a significant positive impact on economic growth in Nigeria. Meanwhile, </w:t>
      </w:r>
      <w:proofErr w:type="spellStart"/>
      <w:r w:rsidRPr="00C340F5">
        <w:rPr>
          <w:rFonts w:ascii="Palatino Linotype" w:eastAsiaTheme="minorHAnsi" w:hAnsi="Palatino Linotype"/>
        </w:rPr>
        <w:t>Fapetu</w:t>
      </w:r>
      <w:proofErr w:type="spellEnd"/>
      <w:r w:rsidRPr="00C340F5">
        <w:rPr>
          <w:rFonts w:ascii="Palatino Linotype" w:eastAsiaTheme="minorHAnsi" w:hAnsi="Palatino Linotype"/>
        </w:rPr>
        <w:t xml:space="preserve"> and </w:t>
      </w:r>
      <w:proofErr w:type="spellStart"/>
      <w:r w:rsidRPr="00C340F5">
        <w:rPr>
          <w:rFonts w:ascii="Palatino Linotype" w:eastAsiaTheme="minorHAnsi" w:hAnsi="Palatino Linotype"/>
        </w:rPr>
        <w:t>Oloyede</w:t>
      </w:r>
      <w:proofErr w:type="spellEnd"/>
      <w:r w:rsidRPr="00C340F5">
        <w:rPr>
          <w:rFonts w:ascii="Palatino Linotype" w:eastAsiaTheme="minorHAnsi" w:hAnsi="Palatino Linotype"/>
        </w:rPr>
        <w:t xml:space="preserve"> (2014) assess the response of economic growth to changes in foreign exchange management in Nigeria covering the period, 1970-2012. The OLS methodology in the context of the error correction model (ECM) and Johansen co-integration was utilized by the study. The study finds a long-run co-integrating equilibrium among the variables. Also, the study finds that export and foreign direct investment were significant in explaining changes in economic growth in Nigeria in the period of review. </w:t>
      </w:r>
    </w:p>
    <w:p w:rsidR="00A81540" w:rsidRPr="00C340F5" w:rsidRDefault="00A81540" w:rsidP="00C340F5">
      <w:pPr>
        <w:spacing w:after="0" w:line="240" w:lineRule="auto"/>
        <w:jc w:val="both"/>
        <w:rPr>
          <w:rFonts w:ascii="Palatino Linotype" w:eastAsiaTheme="minorHAnsi" w:hAnsi="Palatino Linotype"/>
        </w:rPr>
      </w:pPr>
      <w:r w:rsidRPr="00C340F5">
        <w:rPr>
          <w:rFonts w:ascii="Palatino Linotype" w:eastAsiaTheme="minorHAnsi" w:hAnsi="Palatino Linotype"/>
        </w:rPr>
        <w:t xml:space="preserve">In a related development, </w:t>
      </w:r>
      <w:proofErr w:type="spellStart"/>
      <w:r w:rsidRPr="00C340F5">
        <w:rPr>
          <w:rFonts w:ascii="Palatino Linotype" w:eastAsiaTheme="minorHAnsi" w:hAnsi="Palatino Linotype"/>
        </w:rPr>
        <w:t>Akinboyo</w:t>
      </w:r>
      <w:proofErr w:type="spellEnd"/>
      <w:r w:rsidRPr="00C340F5">
        <w:rPr>
          <w:rFonts w:ascii="Palatino Linotype" w:eastAsiaTheme="minorHAnsi" w:hAnsi="Palatino Linotype"/>
        </w:rPr>
        <w:t xml:space="preserve">, </w:t>
      </w:r>
      <w:proofErr w:type="spellStart"/>
      <w:r w:rsidRPr="00C340F5">
        <w:rPr>
          <w:rFonts w:ascii="Palatino Linotype" w:eastAsiaTheme="minorHAnsi" w:hAnsi="Palatino Linotype"/>
        </w:rPr>
        <w:t>Omotosho</w:t>
      </w:r>
      <w:proofErr w:type="spellEnd"/>
      <w:r w:rsidRPr="00C340F5">
        <w:rPr>
          <w:rFonts w:ascii="Palatino Linotype" w:eastAsiaTheme="minorHAnsi" w:hAnsi="Palatino Linotype"/>
        </w:rPr>
        <w:t xml:space="preserve">, </w:t>
      </w:r>
      <w:proofErr w:type="spellStart"/>
      <w:r w:rsidRPr="00C340F5">
        <w:rPr>
          <w:rFonts w:ascii="Palatino Linotype" w:eastAsiaTheme="minorHAnsi" w:hAnsi="Palatino Linotype"/>
        </w:rPr>
        <w:t>Oladunni</w:t>
      </w:r>
      <w:proofErr w:type="spellEnd"/>
      <w:r w:rsidRPr="00C340F5">
        <w:rPr>
          <w:rFonts w:ascii="Palatino Linotype" w:eastAsiaTheme="minorHAnsi" w:hAnsi="Palatino Linotype"/>
        </w:rPr>
        <w:t xml:space="preserve"> and </w:t>
      </w:r>
      <w:proofErr w:type="spellStart"/>
      <w:r w:rsidRPr="00C340F5">
        <w:rPr>
          <w:rFonts w:ascii="Palatino Linotype" w:eastAsiaTheme="minorHAnsi" w:hAnsi="Palatino Linotype"/>
        </w:rPr>
        <w:t>Owolabi</w:t>
      </w:r>
      <w:proofErr w:type="spellEnd"/>
      <w:r w:rsidRPr="00C340F5">
        <w:rPr>
          <w:rFonts w:ascii="Palatino Linotype" w:eastAsiaTheme="minorHAnsi" w:hAnsi="Palatino Linotype"/>
        </w:rPr>
        <w:t xml:space="preserve"> (2016) document the relationship existing between economic growth and foreign reserves in Nigeria using quarterly data, 2000Q1-2013Q2. The study uses causality and co-integration tests. Accordingly, the study finds unidirectional causality which shows that external reserves granger cause economic growth in Nigeria. Also, the study finds evidence of a long-run relationship among the variables. Specifically, the study observes that external reserves had a significant positive impact on economic growth in Nigeria. </w:t>
      </w:r>
      <w:proofErr w:type="spellStart"/>
      <w:r w:rsidRPr="00C340F5">
        <w:rPr>
          <w:rFonts w:ascii="Palatino Linotype" w:eastAsiaTheme="minorHAnsi" w:hAnsi="Palatino Linotype"/>
        </w:rPr>
        <w:t>Eniekezimene</w:t>
      </w:r>
      <w:proofErr w:type="spellEnd"/>
      <w:r w:rsidRPr="00C340F5">
        <w:rPr>
          <w:rFonts w:ascii="Palatino Linotype" w:eastAsiaTheme="minorHAnsi" w:hAnsi="Palatino Linotype"/>
        </w:rPr>
        <w:t xml:space="preserve"> and </w:t>
      </w:r>
      <w:proofErr w:type="spellStart"/>
      <w:r w:rsidRPr="00C340F5">
        <w:rPr>
          <w:rFonts w:ascii="Palatino Linotype" w:eastAsiaTheme="minorHAnsi" w:hAnsi="Palatino Linotype"/>
        </w:rPr>
        <w:t>Apere</w:t>
      </w:r>
      <w:proofErr w:type="spellEnd"/>
      <w:r w:rsidRPr="00C340F5">
        <w:rPr>
          <w:rFonts w:ascii="Palatino Linotype" w:eastAsiaTheme="minorHAnsi" w:hAnsi="Palatino Linotype"/>
        </w:rPr>
        <w:t xml:space="preserve"> (2016) examine the relationship between external reserve management and economic growth in Nigeria. Employing the ordinary least square technique, the study finds that in the short run economic growth is significant and negatively responsive to changes in external reserve </w:t>
      </w:r>
      <w:r w:rsidRPr="00C340F5">
        <w:rPr>
          <w:rFonts w:ascii="Palatino Linotype" w:eastAsiaTheme="minorHAnsi" w:hAnsi="Palatino Linotype"/>
        </w:rPr>
        <w:lastRenderedPageBreak/>
        <w:t xml:space="preserve">contrary to its positive response in the long run. In what appears to be contrary to prior studies, </w:t>
      </w:r>
      <w:proofErr w:type="spellStart"/>
      <w:r w:rsidRPr="00C340F5">
        <w:rPr>
          <w:rFonts w:ascii="Palatino Linotype" w:eastAsiaTheme="minorHAnsi" w:hAnsi="Palatino Linotype"/>
        </w:rPr>
        <w:t>Akinwunmi</w:t>
      </w:r>
      <w:proofErr w:type="spellEnd"/>
      <w:r w:rsidRPr="00C340F5">
        <w:rPr>
          <w:rFonts w:ascii="Palatino Linotype" w:eastAsiaTheme="minorHAnsi" w:hAnsi="Palatino Linotype"/>
        </w:rPr>
        <w:t xml:space="preserve"> and </w:t>
      </w:r>
      <w:proofErr w:type="spellStart"/>
      <w:r w:rsidRPr="00C340F5">
        <w:rPr>
          <w:rFonts w:ascii="Palatino Linotype" w:eastAsiaTheme="minorHAnsi" w:hAnsi="Palatino Linotype"/>
        </w:rPr>
        <w:t>Adekoya</w:t>
      </w:r>
      <w:proofErr w:type="spellEnd"/>
      <w:r w:rsidRPr="00C340F5">
        <w:rPr>
          <w:rFonts w:ascii="Palatino Linotype" w:eastAsiaTheme="minorHAnsi" w:hAnsi="Palatino Linotype"/>
        </w:rPr>
        <w:t xml:space="preserve"> (2016) assess the response of external reserve management to changes in economic growth and other macroeconomic variables such as exchange rate, monetary policy rate, inflation rate and foreign direct investment in Nigeria for the period of 1986-2013. Employing co-integration and ordinary least squares, the study finds a long-run relationship between external reserves and macroeconomic variables. Specifically, the study finds that gross domestic product, monetary policy rate and foreign direct investment had a positive and statistically significant impact on external reserves in Nigeria during the review period. </w:t>
      </w:r>
      <w:proofErr w:type="spellStart"/>
      <w:r w:rsidRPr="00C340F5">
        <w:rPr>
          <w:rFonts w:ascii="Palatino Linotype" w:eastAsiaTheme="minorHAnsi" w:hAnsi="Palatino Linotype"/>
        </w:rPr>
        <w:t>Nwafor</w:t>
      </w:r>
      <w:proofErr w:type="spellEnd"/>
      <w:r w:rsidRPr="00C340F5">
        <w:rPr>
          <w:rFonts w:ascii="Palatino Linotype" w:eastAsiaTheme="minorHAnsi" w:hAnsi="Palatino Linotype"/>
        </w:rPr>
        <w:t xml:space="preserve"> (2017) examines the impact of external reserves on economic growth in Nigeria. Utilizing the ordinary least data covering 2004-2015, the study finds that external reserves had no significant positive impact on economic growth in Nigeria. </w:t>
      </w:r>
    </w:p>
    <w:p w:rsidR="00A81540" w:rsidRDefault="00A81540" w:rsidP="00C340F5">
      <w:pPr>
        <w:spacing w:after="0" w:line="240" w:lineRule="auto"/>
        <w:jc w:val="both"/>
        <w:rPr>
          <w:rFonts w:ascii="Palatino Linotype" w:eastAsiaTheme="minorHAnsi" w:hAnsi="Palatino Linotype"/>
        </w:rPr>
      </w:pPr>
      <w:r w:rsidRPr="00C340F5">
        <w:rPr>
          <w:rFonts w:ascii="Palatino Linotype" w:eastAsiaTheme="minorHAnsi" w:hAnsi="Palatino Linotype"/>
        </w:rPr>
        <w:t xml:space="preserve">Furthermore, </w:t>
      </w:r>
      <w:proofErr w:type="spellStart"/>
      <w:r w:rsidRPr="00C340F5">
        <w:rPr>
          <w:rFonts w:ascii="Palatino Linotype" w:eastAsiaTheme="minorHAnsi" w:hAnsi="Palatino Linotype"/>
        </w:rPr>
        <w:t>Nwosa</w:t>
      </w:r>
      <w:proofErr w:type="spellEnd"/>
      <w:r w:rsidRPr="00C340F5">
        <w:rPr>
          <w:rFonts w:ascii="Palatino Linotype" w:eastAsiaTheme="minorHAnsi" w:hAnsi="Palatino Linotype"/>
        </w:rPr>
        <w:t xml:space="preserve"> (2017) investigates to what extent economic growth responds to changes in external reserves in Nigeria. The study spans the period, 1981 to 2014 and utilizes OLS methodology for the analytical technique. The study indicates that the impact of external reserves on economic growth in Nigeria is positive and statistically significant. </w:t>
      </w:r>
      <w:proofErr w:type="spellStart"/>
      <w:r w:rsidRPr="00C340F5">
        <w:rPr>
          <w:rFonts w:ascii="Palatino Linotype" w:eastAsiaTheme="minorHAnsi" w:hAnsi="Palatino Linotype"/>
        </w:rPr>
        <w:t>Egbulonu</w:t>
      </w:r>
      <w:proofErr w:type="spellEnd"/>
      <w:r w:rsidRPr="00C340F5">
        <w:rPr>
          <w:rFonts w:ascii="Palatino Linotype" w:eastAsiaTheme="minorHAnsi" w:hAnsi="Palatino Linotype"/>
        </w:rPr>
        <w:t xml:space="preserve"> and </w:t>
      </w:r>
      <w:proofErr w:type="spellStart"/>
      <w:r w:rsidRPr="00C340F5">
        <w:rPr>
          <w:rFonts w:ascii="Palatino Linotype" w:eastAsiaTheme="minorHAnsi" w:hAnsi="Palatino Linotype"/>
        </w:rPr>
        <w:t>Akamike</w:t>
      </w:r>
      <w:proofErr w:type="spellEnd"/>
      <w:r w:rsidRPr="00C340F5">
        <w:rPr>
          <w:rFonts w:ascii="Palatino Linotype" w:eastAsiaTheme="minorHAnsi" w:hAnsi="Palatino Linotype"/>
        </w:rPr>
        <w:t xml:space="preserve"> (2018) examine the impact of external reserve management on the level of economic growth in Nigeria, from 1990-2015. The study uses autoregressive distributed lag to assess the contemporaneous relationship between economic growth and three macroeconomic variables namely, external reserve, inflation and exchange rate. The bounds test result indicates a long-run relationship existing between the variables. Specifically, the study finds that the impact of external reserve on economic growth is positive but statistically insignificant while exchange rate and inflation exert a negative effect. In a more recent study, </w:t>
      </w:r>
      <w:proofErr w:type="spellStart"/>
      <w:r w:rsidRPr="00C340F5">
        <w:rPr>
          <w:rFonts w:ascii="Palatino Linotype" w:eastAsiaTheme="minorHAnsi" w:hAnsi="Palatino Linotype"/>
        </w:rPr>
        <w:t>Ojiako</w:t>
      </w:r>
      <w:proofErr w:type="spellEnd"/>
      <w:r w:rsidRPr="00C340F5">
        <w:rPr>
          <w:rFonts w:ascii="Palatino Linotype" w:eastAsiaTheme="minorHAnsi" w:hAnsi="Palatino Linotype"/>
        </w:rPr>
        <w:t xml:space="preserve"> (2020) explores the relationship existing between external reserves and economic performance in Nigeria covering a data period of 1981-2018. The study uses the bounds test approach to co-integration through the application of the ARDL model. Accordingly, the study establishes that a long-run relationship exists between economic performance and external reserves. Also, the study finds that economic performance had a significant and negative response to changes in external reserves in Nigeria. </w:t>
      </w:r>
      <w:proofErr w:type="spellStart"/>
      <w:r w:rsidRPr="00C340F5">
        <w:rPr>
          <w:rFonts w:ascii="Palatino Linotype" w:eastAsiaTheme="minorHAnsi" w:hAnsi="Palatino Linotype"/>
        </w:rPr>
        <w:t>Abere</w:t>
      </w:r>
      <w:proofErr w:type="spellEnd"/>
      <w:r w:rsidRPr="00C340F5">
        <w:rPr>
          <w:rFonts w:ascii="Palatino Linotype" w:eastAsiaTheme="minorHAnsi" w:hAnsi="Palatino Linotype"/>
        </w:rPr>
        <w:t xml:space="preserve"> and </w:t>
      </w:r>
      <w:proofErr w:type="spellStart"/>
      <w:r w:rsidRPr="00C340F5">
        <w:rPr>
          <w:rFonts w:ascii="Palatino Linotype" w:eastAsiaTheme="minorHAnsi" w:hAnsi="Palatino Linotype"/>
        </w:rPr>
        <w:t>Akinbobola</w:t>
      </w:r>
      <w:proofErr w:type="spellEnd"/>
      <w:r w:rsidRPr="00C340F5">
        <w:rPr>
          <w:rFonts w:ascii="Palatino Linotype" w:eastAsiaTheme="minorHAnsi" w:hAnsi="Palatino Linotype"/>
        </w:rPr>
        <w:t xml:space="preserve"> (2020) assess the extent of the impact of external shocks and institutional quality on macroeconomic performance in Nigeria, 1986-2016. Using Structural Vector Autoregressive (SVAR), the study finds that external shocks had a dominating influence on macroeconomic performance in Nigeria.</w:t>
      </w:r>
    </w:p>
    <w:p w:rsidR="00803EED" w:rsidRPr="00C340F5" w:rsidRDefault="00803EED" w:rsidP="00C340F5">
      <w:pPr>
        <w:spacing w:after="0" w:line="240" w:lineRule="auto"/>
        <w:jc w:val="both"/>
        <w:rPr>
          <w:rFonts w:ascii="Palatino Linotype" w:eastAsiaTheme="minorHAnsi" w:hAnsi="Palatino Linotype"/>
        </w:rPr>
      </w:pPr>
    </w:p>
    <w:p w:rsidR="00A81540" w:rsidRPr="00C340F5" w:rsidRDefault="00A81540" w:rsidP="00C340F5">
      <w:pPr>
        <w:spacing w:after="0" w:line="240" w:lineRule="auto"/>
        <w:jc w:val="both"/>
        <w:rPr>
          <w:rFonts w:ascii="Palatino Linotype" w:hAnsi="Palatino Linotype"/>
          <w:b/>
        </w:rPr>
      </w:pPr>
      <w:r w:rsidRPr="00C340F5">
        <w:rPr>
          <w:rFonts w:ascii="Palatino Linotype" w:hAnsi="Palatino Linotype"/>
          <w:b/>
        </w:rPr>
        <w:t xml:space="preserve">3.  The Model   </w:t>
      </w:r>
    </w:p>
    <w:p w:rsidR="00A81540" w:rsidRPr="00C340F5" w:rsidRDefault="00A81540" w:rsidP="00C340F5">
      <w:pPr>
        <w:autoSpaceDE w:val="0"/>
        <w:autoSpaceDN w:val="0"/>
        <w:adjustRightInd w:val="0"/>
        <w:spacing w:after="0" w:line="240" w:lineRule="auto"/>
        <w:jc w:val="both"/>
        <w:rPr>
          <w:rFonts w:ascii="Palatino Linotype" w:hAnsi="Palatino Linotype"/>
        </w:rPr>
      </w:pPr>
      <w:r w:rsidRPr="00C340F5">
        <w:rPr>
          <w:rFonts w:ascii="Palatino Linotype" w:hAnsi="Palatino Linotype"/>
        </w:rPr>
        <w:t xml:space="preserve">The model is specified in line with </w:t>
      </w:r>
      <w:proofErr w:type="spellStart"/>
      <w:r w:rsidRPr="00C340F5">
        <w:rPr>
          <w:rFonts w:ascii="Palatino Linotype" w:eastAsiaTheme="minorHAnsi" w:hAnsi="Palatino Linotype"/>
        </w:rPr>
        <w:t>Ojiako</w:t>
      </w:r>
      <w:proofErr w:type="spellEnd"/>
      <w:r w:rsidRPr="00C340F5">
        <w:rPr>
          <w:rFonts w:ascii="Palatino Linotype" w:eastAsiaTheme="minorHAnsi" w:hAnsi="Palatino Linotype"/>
        </w:rPr>
        <w:t xml:space="preserve"> (2020)</w:t>
      </w:r>
      <w:r w:rsidRPr="00C340F5">
        <w:rPr>
          <w:rFonts w:ascii="Palatino Linotype" w:hAnsi="Palatino Linotype"/>
        </w:rPr>
        <w:t xml:space="preserve"> that permits the estimation of the impact of external reserves on economic growth in Nigeria as follows:</w:t>
      </w:r>
    </w:p>
    <w:p w:rsidR="00A81540" w:rsidRPr="00C340F5" w:rsidRDefault="00A81540" w:rsidP="00C340F5">
      <w:pPr>
        <w:spacing w:after="0" w:line="240" w:lineRule="auto"/>
        <w:jc w:val="both"/>
        <w:rPr>
          <w:rFonts w:ascii="Palatino Linotype" w:hAnsi="Palatino Linotype"/>
          <w:b/>
        </w:rPr>
      </w:pPr>
      <w:r w:rsidRPr="00C340F5">
        <w:rPr>
          <w:rFonts w:ascii="Palatino Linotype" w:hAnsi="Palatino Linotype"/>
          <w:b/>
          <w:position w:val="-10"/>
        </w:rPr>
        <w:object w:dxaOrig="8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25pt;height:16.5pt" o:ole="">
            <v:imagedata r:id="rId10" o:title=""/>
          </v:shape>
          <o:OLEObject Type="Embed" ProgID="Equation.3" ShapeID="_x0000_i1025" DrawAspect="Content" ObjectID="_1742384447" r:id="rId11"/>
        </w:object>
      </w:r>
    </w:p>
    <w:p w:rsidR="00A81540" w:rsidRPr="00C340F5" w:rsidRDefault="00A81540" w:rsidP="00C340F5">
      <w:pPr>
        <w:autoSpaceDE w:val="0"/>
        <w:autoSpaceDN w:val="0"/>
        <w:adjustRightInd w:val="0"/>
        <w:spacing w:after="0" w:line="240" w:lineRule="auto"/>
        <w:jc w:val="both"/>
        <w:rPr>
          <w:rFonts w:ascii="Palatino Linotype" w:hAnsi="Palatino Linotype"/>
        </w:rPr>
      </w:pPr>
      <w:r w:rsidRPr="00C340F5">
        <w:rPr>
          <w:rFonts w:ascii="Palatino Linotype" w:hAnsi="Palatino Linotype"/>
        </w:rPr>
        <w:t>In long stochastic form, equation (1) becomes:</w:t>
      </w:r>
    </w:p>
    <w:p w:rsidR="00A81540" w:rsidRPr="00C340F5" w:rsidRDefault="00A81540" w:rsidP="00C340F5">
      <w:pPr>
        <w:spacing w:after="0" w:line="240" w:lineRule="auto"/>
        <w:jc w:val="both"/>
        <w:rPr>
          <w:rFonts w:ascii="Palatino Linotype" w:hAnsi="Palatino Linotype"/>
          <w:b/>
        </w:rPr>
      </w:pPr>
      <w:r w:rsidRPr="00C340F5">
        <w:rPr>
          <w:rFonts w:ascii="Palatino Linotype" w:hAnsi="Palatino Linotype"/>
          <w:b/>
          <w:position w:val="-12"/>
        </w:rPr>
        <w:object w:dxaOrig="8280" w:dyaOrig="360">
          <v:shape id="_x0000_i1026" type="#_x0000_t75" style="width:414.75pt;height:18pt" o:ole="">
            <v:imagedata r:id="rId12" o:title=""/>
          </v:shape>
          <o:OLEObject Type="Embed" ProgID="Equation.3" ShapeID="_x0000_i1026" DrawAspect="Content" ObjectID="_1742384448" r:id="rId13"/>
        </w:object>
      </w:r>
    </w:p>
    <w:p w:rsidR="00A81540" w:rsidRPr="00C340F5" w:rsidRDefault="00A81540" w:rsidP="00C340F5">
      <w:pPr>
        <w:spacing w:after="0" w:line="240" w:lineRule="auto"/>
        <w:jc w:val="both"/>
        <w:rPr>
          <w:rFonts w:ascii="Palatino Linotype" w:hAnsi="Palatino Linotype"/>
        </w:rPr>
      </w:pPr>
      <w:r w:rsidRPr="00C340F5">
        <w:rPr>
          <w:rFonts w:ascii="Palatino Linotype" w:hAnsi="Palatino Linotype"/>
        </w:rPr>
        <w:t>Where: GDP = gross domestic product at 2010 constant price, EXTR = external reserves, EXCR = exchange rate ($/</w:t>
      </w:r>
      <w:r w:rsidRPr="00C340F5">
        <w:rPr>
          <w:rFonts w:ascii="Palatino Linotype" w:hAnsi="Palatino Linotype"/>
          <w:dstrike/>
        </w:rPr>
        <w:t>N</w:t>
      </w:r>
      <w:r w:rsidRPr="00C340F5">
        <w:rPr>
          <w:rFonts w:ascii="Palatino Linotype" w:hAnsi="Palatino Linotype"/>
        </w:rPr>
        <w:t>), INFR = inflation rate, TRDP = trade openness (i.e. export + import/GDP). It is expected that a positive relationship should exist between economic growth and external reserves as well as trade openness. And whilst inflation should exert a negative impact, the exchange rate is expected to turn on either side.</w:t>
      </w:r>
    </w:p>
    <w:p w:rsidR="00A81540" w:rsidRPr="00C340F5" w:rsidRDefault="00A81540" w:rsidP="00C340F5">
      <w:pPr>
        <w:shd w:val="clear" w:color="auto" w:fill="FFFFFF"/>
        <w:spacing w:after="0" w:line="240" w:lineRule="auto"/>
        <w:jc w:val="both"/>
        <w:rPr>
          <w:rFonts w:ascii="Palatino Linotype" w:hAnsi="Palatino Linotype"/>
          <w:b/>
        </w:rPr>
      </w:pPr>
      <w:r w:rsidRPr="00C340F5">
        <w:rPr>
          <w:rFonts w:ascii="Palatino Linotype" w:hAnsi="Palatino Linotype"/>
          <w:b/>
        </w:rPr>
        <w:t>Technique of Analysis</w:t>
      </w:r>
    </w:p>
    <w:p w:rsidR="00A81540" w:rsidRDefault="00A81540" w:rsidP="00C340F5">
      <w:pPr>
        <w:autoSpaceDE w:val="0"/>
        <w:autoSpaceDN w:val="0"/>
        <w:adjustRightInd w:val="0"/>
        <w:spacing w:after="0" w:line="240" w:lineRule="auto"/>
        <w:jc w:val="both"/>
        <w:rPr>
          <w:rFonts w:ascii="Palatino Linotype" w:hAnsi="Palatino Linotype"/>
        </w:rPr>
      </w:pPr>
      <w:r w:rsidRPr="00C340F5">
        <w:rPr>
          <w:rFonts w:ascii="Palatino Linotype" w:hAnsi="Palatino Linotype"/>
        </w:rPr>
        <w:lastRenderedPageBreak/>
        <w:t xml:space="preserve">The study employed the ARDL model developed by </w:t>
      </w:r>
      <w:proofErr w:type="spellStart"/>
      <w:r w:rsidRPr="00C340F5">
        <w:rPr>
          <w:rFonts w:ascii="Palatino Linotype" w:hAnsi="Palatino Linotype"/>
        </w:rPr>
        <w:t>Pesaran</w:t>
      </w:r>
      <w:proofErr w:type="spellEnd"/>
      <w:r w:rsidRPr="00C340F5">
        <w:rPr>
          <w:rFonts w:ascii="Palatino Linotype" w:hAnsi="Palatino Linotype"/>
        </w:rPr>
        <w:t xml:space="preserve"> and </w:t>
      </w:r>
      <w:proofErr w:type="spellStart"/>
      <w:r w:rsidRPr="00C340F5">
        <w:rPr>
          <w:rFonts w:ascii="Palatino Linotype" w:hAnsi="Palatino Linotype"/>
        </w:rPr>
        <w:t>Pesaran</w:t>
      </w:r>
      <w:proofErr w:type="spellEnd"/>
      <w:r w:rsidRPr="00C340F5">
        <w:rPr>
          <w:rFonts w:ascii="Palatino Linotype" w:hAnsi="Palatino Linotype"/>
        </w:rPr>
        <w:t xml:space="preserve"> (1997) and expanded by </w:t>
      </w:r>
      <w:proofErr w:type="spellStart"/>
      <w:r w:rsidRPr="00C340F5">
        <w:rPr>
          <w:rFonts w:ascii="Palatino Linotype" w:hAnsi="Palatino Linotype"/>
        </w:rPr>
        <w:t>Pesaran</w:t>
      </w:r>
      <w:proofErr w:type="spellEnd"/>
      <w:r w:rsidRPr="00C340F5">
        <w:rPr>
          <w:rFonts w:ascii="Palatino Linotype" w:hAnsi="Palatino Linotype"/>
        </w:rPr>
        <w:t xml:space="preserve">, Shin and Smith (2001) which is noted in testing for short and long-run analysis. The procedure starts by obtaining F-statistics from the Wald test that is used for the bound test for the null hypothesis. Using the critical value tabulated by </w:t>
      </w:r>
      <w:proofErr w:type="spellStart"/>
      <w:r w:rsidRPr="00C340F5">
        <w:rPr>
          <w:rFonts w:ascii="Palatino Linotype" w:hAnsi="Palatino Linotype"/>
        </w:rPr>
        <w:t>Pesaran</w:t>
      </w:r>
      <w:proofErr w:type="spellEnd"/>
      <w:r w:rsidRPr="00C340F5">
        <w:rPr>
          <w:rFonts w:ascii="Palatino Linotype" w:hAnsi="Palatino Linotype"/>
          <w:iCs/>
        </w:rPr>
        <w:t xml:space="preserve"> et al</w:t>
      </w:r>
      <w:r w:rsidRPr="00C340F5">
        <w:rPr>
          <w:rFonts w:ascii="Palatino Linotype" w:hAnsi="Palatino Linotype"/>
        </w:rPr>
        <w:t xml:space="preserve"> (2001), if the F-statistic falls below the lower bound it will be concluded that the variables are </w:t>
      </w:r>
      <w:proofErr w:type="gramStart"/>
      <w:r w:rsidRPr="00C340F5">
        <w:rPr>
          <w:rFonts w:ascii="Palatino Linotype" w:hAnsi="Palatino Linotype"/>
        </w:rPr>
        <w:t>I(</w:t>
      </w:r>
      <w:proofErr w:type="gramEnd"/>
      <w:r w:rsidRPr="00C340F5">
        <w:rPr>
          <w:rFonts w:ascii="Palatino Linotype" w:hAnsi="Palatino Linotype"/>
        </w:rPr>
        <w:t xml:space="preserve">0) and so no co-integration is possible by definition. If the F-statistic exceeds the upper bound, there is co-integration and evidence of the long-run relationship between the variables. Finally, if the F-statistic falls between the bounds, the test is inconclusive. The first step in estimating the model is to determine the lag orders suggested by </w:t>
      </w:r>
      <w:r w:rsidRPr="00C340F5">
        <w:rPr>
          <w:rFonts w:ascii="Palatino Linotype" w:hAnsi="Palatino Linotype"/>
          <w:color w:val="231F20"/>
        </w:rPr>
        <w:t xml:space="preserve">Schwarz Information Criteria (SBC) and </w:t>
      </w:r>
      <w:proofErr w:type="spellStart"/>
      <w:r w:rsidRPr="00C340F5">
        <w:rPr>
          <w:rFonts w:ascii="Palatino Linotype" w:hAnsi="Palatino Linotype"/>
          <w:color w:val="231F20"/>
        </w:rPr>
        <w:t>Akaike</w:t>
      </w:r>
      <w:proofErr w:type="spellEnd"/>
      <w:r w:rsidRPr="00C340F5">
        <w:rPr>
          <w:rFonts w:ascii="Palatino Linotype" w:hAnsi="Palatino Linotype"/>
          <w:color w:val="231F20"/>
        </w:rPr>
        <w:t xml:space="preserve"> Information Criteria (AIC) </w:t>
      </w:r>
      <w:r w:rsidRPr="00C340F5">
        <w:rPr>
          <w:rFonts w:ascii="Palatino Linotype" w:hAnsi="Palatino Linotype"/>
        </w:rPr>
        <w:t xml:space="preserve">using a vector autoregressive (VAR) model. This is then followed by ARDL estimation. Thus, the ARDL model of equation (2) is estimated below. </w:t>
      </w:r>
    </w:p>
    <w:p w:rsidR="00803EED" w:rsidRPr="00C340F5" w:rsidRDefault="00803EED" w:rsidP="00C340F5">
      <w:pPr>
        <w:autoSpaceDE w:val="0"/>
        <w:autoSpaceDN w:val="0"/>
        <w:adjustRightInd w:val="0"/>
        <w:spacing w:after="0" w:line="240" w:lineRule="auto"/>
        <w:jc w:val="both"/>
        <w:rPr>
          <w:rFonts w:ascii="Palatino Linotype" w:hAnsi="Palatino Linotype"/>
        </w:rPr>
      </w:pPr>
    </w:p>
    <w:p w:rsidR="00A81540" w:rsidRPr="00C340F5" w:rsidRDefault="00A81540" w:rsidP="00C340F5">
      <w:pPr>
        <w:pStyle w:val="BodyText"/>
        <w:rPr>
          <w:rFonts w:ascii="Palatino Linotype" w:hAnsi="Palatino Linotype"/>
          <w:b/>
          <w:sz w:val="22"/>
          <w:szCs w:val="22"/>
          <w:lang w:val="en-GB"/>
        </w:rPr>
      </w:pPr>
      <w:r w:rsidRPr="00C340F5">
        <w:rPr>
          <w:rFonts w:ascii="Palatino Linotype" w:hAnsi="Palatino Linotype"/>
          <w:b/>
          <w:position w:val="-64"/>
          <w:sz w:val="22"/>
          <w:szCs w:val="22"/>
          <w:lang w:val="en-GB"/>
        </w:rPr>
        <w:object w:dxaOrig="9279" w:dyaOrig="1740">
          <v:shape id="_x0000_i1027" type="#_x0000_t75" style="width:463.5pt;height:87.75pt" o:ole="">
            <v:imagedata r:id="rId14" o:title=""/>
          </v:shape>
          <o:OLEObject Type="Embed" ProgID="Equation.3" ShapeID="_x0000_i1027" DrawAspect="Content" ObjectID="_1742384449" r:id="rId15"/>
        </w:object>
      </w:r>
    </w:p>
    <w:p w:rsidR="00803EED" w:rsidRDefault="00803EED" w:rsidP="00C340F5">
      <w:pPr>
        <w:spacing w:after="0" w:line="240" w:lineRule="auto"/>
        <w:jc w:val="both"/>
        <w:rPr>
          <w:rFonts w:ascii="Palatino Linotype" w:hAnsi="Palatino Linotype"/>
        </w:rPr>
      </w:pPr>
    </w:p>
    <w:p w:rsidR="00A81540" w:rsidRPr="00C340F5" w:rsidRDefault="00A81540" w:rsidP="00C340F5">
      <w:pPr>
        <w:spacing w:after="0" w:line="240" w:lineRule="auto"/>
        <w:jc w:val="both"/>
        <w:rPr>
          <w:rFonts w:ascii="Palatino Linotype" w:hAnsi="Palatino Linotype"/>
          <w:color w:val="231F20"/>
        </w:rPr>
      </w:pPr>
      <w:r w:rsidRPr="00C340F5">
        <w:rPr>
          <w:rFonts w:ascii="Palatino Linotype" w:hAnsi="Palatino Linotype"/>
        </w:rPr>
        <w:t xml:space="preserve">A crucial element of the ARDL model is the estimation of the long run and the short run together in a single model. Thus in equation (3), the component α is the short run and β is the long run. Accordingly, </w:t>
      </w:r>
      <w:r w:rsidRPr="00C340F5">
        <w:rPr>
          <w:rFonts w:ascii="Palatino Linotype" w:hAnsi="Palatino Linotype"/>
          <w:color w:val="231F20"/>
        </w:rPr>
        <w:t>the null hypothesis of no co-integration H</w:t>
      </w:r>
      <w:r w:rsidRPr="00C340F5">
        <w:rPr>
          <w:rFonts w:ascii="Palatino Linotype" w:hAnsi="Palatino Linotype"/>
          <w:color w:val="231F20"/>
          <w:vertAlign w:val="subscript"/>
        </w:rPr>
        <w:t>0</w:t>
      </w:r>
      <w:r w:rsidRPr="00C340F5">
        <w:rPr>
          <w:rFonts w:ascii="Palatino Linotype" w:hAnsi="Palatino Linotype"/>
          <w:color w:val="231F20"/>
        </w:rPr>
        <w:t>: α</w:t>
      </w:r>
      <w:r w:rsidRPr="00C340F5">
        <w:rPr>
          <w:rFonts w:ascii="Palatino Linotype" w:hAnsi="Palatino Linotype"/>
          <w:color w:val="231F20"/>
          <w:vertAlign w:val="subscript"/>
        </w:rPr>
        <w:t>1</w:t>
      </w:r>
      <w:r w:rsidRPr="00C340F5">
        <w:rPr>
          <w:rFonts w:ascii="Palatino Linotype" w:hAnsi="Palatino Linotype"/>
          <w:color w:val="231F20"/>
        </w:rPr>
        <w:t xml:space="preserve"> = α</w:t>
      </w:r>
      <w:r w:rsidRPr="00C340F5">
        <w:rPr>
          <w:rFonts w:ascii="Palatino Linotype" w:hAnsi="Palatino Linotype"/>
          <w:color w:val="231F20"/>
          <w:vertAlign w:val="subscript"/>
        </w:rPr>
        <w:t>2</w:t>
      </w:r>
      <w:r w:rsidRPr="00C340F5">
        <w:rPr>
          <w:rFonts w:ascii="Palatino Linotype" w:hAnsi="Palatino Linotype"/>
          <w:color w:val="231F20"/>
        </w:rPr>
        <w:t xml:space="preserve"> = α</w:t>
      </w:r>
      <w:r w:rsidRPr="00C340F5">
        <w:rPr>
          <w:rFonts w:ascii="Palatino Linotype" w:hAnsi="Palatino Linotype"/>
          <w:color w:val="231F20"/>
          <w:vertAlign w:val="subscript"/>
        </w:rPr>
        <w:t>3</w:t>
      </w:r>
      <w:r w:rsidRPr="00C340F5">
        <w:rPr>
          <w:rFonts w:ascii="Palatino Linotype" w:hAnsi="Palatino Linotype"/>
          <w:color w:val="231F20"/>
        </w:rPr>
        <w:t xml:space="preserve"> = α</w:t>
      </w:r>
      <w:r w:rsidRPr="00C340F5">
        <w:rPr>
          <w:rFonts w:ascii="Palatino Linotype" w:hAnsi="Palatino Linotype"/>
          <w:color w:val="231F20"/>
          <w:vertAlign w:val="subscript"/>
        </w:rPr>
        <w:t>4</w:t>
      </w:r>
      <w:r w:rsidRPr="00C340F5">
        <w:rPr>
          <w:rFonts w:ascii="Palatino Linotype" w:hAnsi="Palatino Linotype"/>
          <w:color w:val="231F20"/>
        </w:rPr>
        <w:t xml:space="preserve"> = α</w:t>
      </w:r>
      <w:r w:rsidRPr="00C340F5">
        <w:rPr>
          <w:rFonts w:ascii="Palatino Linotype" w:hAnsi="Palatino Linotype"/>
          <w:color w:val="231F20"/>
          <w:vertAlign w:val="subscript"/>
        </w:rPr>
        <w:t>4</w:t>
      </w:r>
      <w:r w:rsidRPr="00C340F5">
        <w:rPr>
          <w:rFonts w:ascii="Palatino Linotype" w:hAnsi="Palatino Linotype"/>
          <w:color w:val="231F20"/>
        </w:rPr>
        <w:t xml:space="preserve"> = 0 is tested against the alternative hypothesis H</w:t>
      </w:r>
      <w:r w:rsidRPr="00C340F5">
        <w:rPr>
          <w:rFonts w:ascii="Palatino Linotype" w:hAnsi="Palatino Linotype"/>
          <w:color w:val="231F20"/>
          <w:vertAlign w:val="subscript"/>
        </w:rPr>
        <w:t>1</w:t>
      </w:r>
      <w:r w:rsidRPr="00C340F5">
        <w:rPr>
          <w:rFonts w:ascii="Palatino Linotype" w:hAnsi="Palatino Linotype"/>
          <w:color w:val="231F20"/>
        </w:rPr>
        <w:t>: β</w:t>
      </w:r>
      <w:r w:rsidRPr="00C340F5">
        <w:rPr>
          <w:rFonts w:ascii="Palatino Linotype" w:hAnsi="Palatino Linotype"/>
          <w:color w:val="231F20"/>
          <w:vertAlign w:val="subscript"/>
        </w:rPr>
        <w:t>1</w:t>
      </w:r>
      <w:r w:rsidRPr="00C340F5">
        <w:rPr>
          <w:rFonts w:ascii="Palatino Linotype" w:hAnsi="Palatino Linotype"/>
          <w:color w:val="231F20"/>
        </w:rPr>
        <w:t xml:space="preserve"> ≠ β</w:t>
      </w:r>
      <w:r w:rsidRPr="00C340F5">
        <w:rPr>
          <w:rFonts w:ascii="Palatino Linotype" w:hAnsi="Palatino Linotype"/>
          <w:color w:val="231F20"/>
          <w:vertAlign w:val="subscript"/>
        </w:rPr>
        <w:t>2</w:t>
      </w:r>
      <w:r w:rsidRPr="00C340F5">
        <w:rPr>
          <w:rFonts w:ascii="Palatino Linotype" w:hAnsi="Palatino Linotype"/>
          <w:color w:val="231F20"/>
        </w:rPr>
        <w:t xml:space="preserve"> ≠ β</w:t>
      </w:r>
      <w:r w:rsidRPr="00C340F5">
        <w:rPr>
          <w:rFonts w:ascii="Palatino Linotype" w:hAnsi="Palatino Linotype"/>
          <w:color w:val="231F20"/>
          <w:vertAlign w:val="subscript"/>
        </w:rPr>
        <w:t>3</w:t>
      </w:r>
      <w:r w:rsidRPr="00C340F5">
        <w:rPr>
          <w:rFonts w:ascii="Palatino Linotype" w:hAnsi="Palatino Linotype"/>
          <w:color w:val="231F20"/>
        </w:rPr>
        <w:t xml:space="preserve"> ≠ β</w:t>
      </w:r>
      <w:r w:rsidRPr="00C340F5">
        <w:rPr>
          <w:rFonts w:ascii="Palatino Linotype" w:hAnsi="Palatino Linotype"/>
          <w:color w:val="231F20"/>
          <w:vertAlign w:val="subscript"/>
        </w:rPr>
        <w:t>4</w:t>
      </w:r>
      <w:r w:rsidRPr="00C340F5">
        <w:rPr>
          <w:rFonts w:ascii="Palatino Linotype" w:hAnsi="Palatino Linotype"/>
          <w:color w:val="231F20"/>
        </w:rPr>
        <w:t xml:space="preserve"> ≠ 0. </w:t>
      </w:r>
      <w:r w:rsidRPr="00C340F5">
        <w:rPr>
          <w:rFonts w:ascii="Palatino Linotype" w:hAnsi="Palatino Linotype"/>
        </w:rPr>
        <w:t xml:space="preserve">If a stable long-run relationship is supported by the Wald test from </w:t>
      </w:r>
      <w:proofErr w:type="spellStart"/>
      <w:r w:rsidRPr="00C340F5">
        <w:rPr>
          <w:rFonts w:ascii="Palatino Linotype" w:hAnsi="Palatino Linotype"/>
        </w:rPr>
        <w:t>Pesaran</w:t>
      </w:r>
      <w:proofErr w:type="spellEnd"/>
      <w:r w:rsidRPr="00C340F5">
        <w:rPr>
          <w:rFonts w:ascii="Palatino Linotype" w:hAnsi="Palatino Linotype"/>
        </w:rPr>
        <w:t xml:space="preserve"> et al (2001) Table of value, then the second stage is the estimation of the short-run by replacing all the components of </w:t>
      </w:r>
      <w:r w:rsidRPr="00C340F5">
        <w:rPr>
          <w:rFonts w:ascii="Palatino Linotype" w:hAnsi="Palatino Linotype"/>
          <w:color w:val="231F20"/>
        </w:rPr>
        <w:t>β</w:t>
      </w:r>
      <w:r w:rsidRPr="00C340F5">
        <w:rPr>
          <w:rFonts w:ascii="Palatino Linotype" w:hAnsi="Palatino Linotype"/>
        </w:rPr>
        <w:t>in equation 3 by  ECM as follows</w:t>
      </w:r>
      <w:r w:rsidRPr="00C340F5">
        <w:rPr>
          <w:rFonts w:ascii="Palatino Linotype" w:hAnsi="Palatino Linotype"/>
          <w:color w:val="231F20"/>
        </w:rPr>
        <w:t>.</w:t>
      </w:r>
    </w:p>
    <w:p w:rsidR="00A81540" w:rsidRPr="00C340F5" w:rsidRDefault="00A81540" w:rsidP="00C340F5">
      <w:pPr>
        <w:pStyle w:val="BodyText"/>
        <w:rPr>
          <w:rFonts w:ascii="Palatino Linotype" w:hAnsi="Palatino Linotype"/>
          <w:b/>
          <w:sz w:val="22"/>
          <w:szCs w:val="22"/>
          <w:lang w:val="en-GB"/>
        </w:rPr>
      </w:pPr>
      <w:r w:rsidRPr="00C340F5">
        <w:rPr>
          <w:rFonts w:ascii="Palatino Linotype" w:hAnsi="Palatino Linotype"/>
          <w:b/>
          <w:position w:val="-64"/>
          <w:sz w:val="22"/>
          <w:szCs w:val="22"/>
          <w:lang w:val="en-GB"/>
        </w:rPr>
        <w:object w:dxaOrig="9300" w:dyaOrig="1400">
          <v:shape id="_x0000_i1028" type="#_x0000_t75" style="width:465.75pt;height:70.5pt" o:ole="">
            <v:imagedata r:id="rId16" o:title=""/>
          </v:shape>
          <o:OLEObject Type="Embed" ProgID="Equation.3" ShapeID="_x0000_i1028" DrawAspect="Content" ObjectID="_1742384450" r:id="rId17"/>
        </w:object>
      </w:r>
    </w:p>
    <w:p w:rsidR="00803EED" w:rsidRDefault="00803EED" w:rsidP="00C340F5">
      <w:pPr>
        <w:spacing w:after="0" w:line="240" w:lineRule="auto"/>
        <w:jc w:val="both"/>
        <w:rPr>
          <w:rFonts w:ascii="Palatino Linotype" w:hAnsi="Palatino Linotype"/>
        </w:rPr>
      </w:pPr>
    </w:p>
    <w:p w:rsidR="00A81540" w:rsidRDefault="00A81540" w:rsidP="00C340F5">
      <w:pPr>
        <w:spacing w:after="0" w:line="240" w:lineRule="auto"/>
        <w:jc w:val="both"/>
        <w:rPr>
          <w:rFonts w:ascii="Palatino Linotype" w:hAnsi="Palatino Linotype"/>
        </w:rPr>
      </w:pPr>
      <w:r w:rsidRPr="00C340F5">
        <w:rPr>
          <w:rFonts w:ascii="Palatino Linotype" w:hAnsi="Palatino Linotype"/>
        </w:rPr>
        <w:t xml:space="preserve">Where the </w:t>
      </w:r>
      <w:r w:rsidRPr="00C340F5">
        <w:rPr>
          <w:rFonts w:ascii="Palatino Linotype" w:hAnsi="Palatino Linotype"/>
          <w:iCs/>
        </w:rPr>
        <w:t>ECM</w:t>
      </w:r>
      <w:r w:rsidRPr="00C340F5">
        <w:rPr>
          <w:rFonts w:ascii="Palatino Linotype" w:hAnsi="Palatino Linotype"/>
          <w:iCs/>
          <w:vertAlign w:val="subscript"/>
        </w:rPr>
        <w:t>t−1</w:t>
      </w:r>
      <w:r w:rsidRPr="00C340F5">
        <w:rPr>
          <w:rFonts w:ascii="Palatino Linotype" w:hAnsi="Palatino Linotype"/>
        </w:rPr>
        <w:t xml:space="preserve">is the error correction term resulting from the verified long-run equilibrium relationship and λ signifies the speed of convergence to the equilibrium process. </w:t>
      </w:r>
      <w:proofErr w:type="spellStart"/>
      <w:r w:rsidRPr="00C340F5">
        <w:rPr>
          <w:rFonts w:ascii="Palatino Linotype" w:hAnsi="Palatino Linotype"/>
        </w:rPr>
        <w:t>Pesaran</w:t>
      </w:r>
      <w:proofErr w:type="spellEnd"/>
      <w:r w:rsidRPr="00C340F5">
        <w:rPr>
          <w:rFonts w:ascii="Palatino Linotype" w:hAnsi="Palatino Linotype"/>
        </w:rPr>
        <w:t xml:space="preserve"> et al. (2001) submitted that the constancy of the long-run multipliers should be ascertained by testing for stability of the parameters in the ECM using the cumulative sum of recursive residuals (CUSUM) and the cumulative sum of the square of recursive residuals (CUSUMSQ) the equation of which is detail in Brown, Durbin and Evans (1975).</w:t>
      </w:r>
    </w:p>
    <w:p w:rsidR="00803EED" w:rsidRPr="00C340F5" w:rsidRDefault="00803EED" w:rsidP="00C340F5">
      <w:pPr>
        <w:spacing w:after="0" w:line="240" w:lineRule="auto"/>
        <w:jc w:val="both"/>
        <w:rPr>
          <w:rFonts w:ascii="Palatino Linotype" w:hAnsi="Palatino Linotype"/>
        </w:rPr>
      </w:pPr>
    </w:p>
    <w:p w:rsidR="00A81540" w:rsidRPr="00C340F5" w:rsidRDefault="00A81540" w:rsidP="00C340F5">
      <w:pPr>
        <w:spacing w:after="0" w:line="240" w:lineRule="auto"/>
        <w:jc w:val="both"/>
        <w:rPr>
          <w:rFonts w:ascii="Palatino Linotype" w:hAnsi="Palatino Linotype"/>
          <w:b/>
          <w:color w:val="000000"/>
        </w:rPr>
      </w:pPr>
      <w:r w:rsidRPr="00C340F5">
        <w:rPr>
          <w:rFonts w:ascii="Palatino Linotype" w:hAnsi="Palatino Linotype"/>
          <w:b/>
          <w:color w:val="000000"/>
        </w:rPr>
        <w:t>Unit Root Test</w:t>
      </w:r>
    </w:p>
    <w:p w:rsidR="00A81540" w:rsidRDefault="00A81540" w:rsidP="00C340F5">
      <w:pPr>
        <w:autoSpaceDE w:val="0"/>
        <w:autoSpaceDN w:val="0"/>
        <w:adjustRightInd w:val="0"/>
        <w:spacing w:after="0" w:line="240" w:lineRule="auto"/>
        <w:jc w:val="both"/>
        <w:rPr>
          <w:rFonts w:ascii="Palatino Linotype" w:hAnsi="Palatino Linotype"/>
        </w:rPr>
      </w:pPr>
      <w:r w:rsidRPr="00C340F5">
        <w:rPr>
          <w:rFonts w:ascii="Palatino Linotype" w:hAnsi="Palatino Linotype"/>
        </w:rPr>
        <w:t>The Augmented Dickey-Fuller (ADF) test is conducted to ensure that none of the series is an integration of order 2 which could result in a breakdown of the model and also to avoid spurious regression. The ADF test is estimated as follows:</w:t>
      </w:r>
    </w:p>
    <w:p w:rsidR="00803EED" w:rsidRDefault="00803EED" w:rsidP="00C340F5">
      <w:pPr>
        <w:autoSpaceDE w:val="0"/>
        <w:autoSpaceDN w:val="0"/>
        <w:adjustRightInd w:val="0"/>
        <w:spacing w:after="0" w:line="240" w:lineRule="auto"/>
        <w:jc w:val="both"/>
        <w:rPr>
          <w:rFonts w:ascii="Palatino Linotype" w:hAnsi="Palatino Linotype"/>
        </w:rPr>
      </w:pPr>
    </w:p>
    <w:p w:rsidR="00803EED" w:rsidRPr="00C340F5" w:rsidRDefault="00803EED" w:rsidP="00C340F5">
      <w:pPr>
        <w:autoSpaceDE w:val="0"/>
        <w:autoSpaceDN w:val="0"/>
        <w:adjustRightInd w:val="0"/>
        <w:spacing w:after="0" w:line="240" w:lineRule="auto"/>
        <w:jc w:val="both"/>
        <w:rPr>
          <w:rFonts w:ascii="Palatino Linotype" w:hAnsi="Palatino Linotype"/>
        </w:rPr>
      </w:pPr>
    </w:p>
    <w:p w:rsidR="00A81540" w:rsidRPr="00C340F5" w:rsidRDefault="00A81540" w:rsidP="00C340F5">
      <w:pPr>
        <w:pStyle w:val="BodyText"/>
        <w:rPr>
          <w:rFonts w:ascii="Palatino Linotype" w:hAnsi="Palatino Linotype"/>
          <w:b/>
          <w:sz w:val="22"/>
          <w:szCs w:val="22"/>
          <w:lang w:val="en-GB"/>
        </w:rPr>
      </w:pPr>
      <w:r w:rsidRPr="00C340F5">
        <w:rPr>
          <w:rFonts w:ascii="Palatino Linotype" w:hAnsi="Palatino Linotype"/>
          <w:b/>
          <w:position w:val="-28"/>
          <w:sz w:val="22"/>
          <w:szCs w:val="22"/>
          <w:lang w:val="en-GB"/>
        </w:rPr>
        <w:object w:dxaOrig="8960" w:dyaOrig="680">
          <v:shape id="_x0000_i1029" type="#_x0000_t75" style="width:447.75pt;height:34.5pt" o:ole="">
            <v:imagedata r:id="rId18" o:title=""/>
          </v:shape>
          <o:OLEObject Type="Embed" ProgID="Equation.3" ShapeID="_x0000_i1029" DrawAspect="Content" ObjectID="_1742384451" r:id="rId19"/>
        </w:object>
      </w:r>
    </w:p>
    <w:p w:rsidR="00803EED" w:rsidRDefault="00A81540" w:rsidP="00C340F5">
      <w:pPr>
        <w:autoSpaceDE w:val="0"/>
        <w:autoSpaceDN w:val="0"/>
        <w:adjustRightInd w:val="0"/>
        <w:spacing w:after="0" w:line="240" w:lineRule="auto"/>
        <w:jc w:val="both"/>
        <w:rPr>
          <w:rFonts w:ascii="Palatino Linotype" w:hAnsi="Palatino Linotype"/>
        </w:rPr>
      </w:pPr>
      <w:r w:rsidRPr="00C340F5">
        <w:rPr>
          <w:rFonts w:ascii="Palatino Linotype" w:hAnsi="Palatino Linotype"/>
        </w:rPr>
        <w:t xml:space="preserve">Where </w:t>
      </w:r>
      <w:proofErr w:type="spellStart"/>
      <w:r w:rsidRPr="00C340F5">
        <w:rPr>
          <w:rFonts w:ascii="Palatino Linotype" w:hAnsi="Palatino Linotype"/>
        </w:rPr>
        <w:t>yt</w:t>
      </w:r>
      <w:proofErr w:type="spellEnd"/>
      <w:r w:rsidRPr="00C340F5">
        <w:rPr>
          <w:rFonts w:ascii="Palatino Linotype" w:hAnsi="Palatino Linotype"/>
        </w:rPr>
        <w:t xml:space="preserve"> = relevant time series; Δ = first difference operator; t = a linear trend and </w:t>
      </w:r>
      <w:proofErr w:type="spellStart"/>
      <w:r w:rsidRPr="00C340F5">
        <w:rPr>
          <w:rFonts w:ascii="Palatino Linotype" w:hAnsi="Palatino Linotype"/>
        </w:rPr>
        <w:t>εt</w:t>
      </w:r>
      <w:proofErr w:type="spellEnd"/>
      <w:r w:rsidRPr="00C340F5">
        <w:rPr>
          <w:rFonts w:ascii="Palatino Linotype" w:hAnsi="Palatino Linotype"/>
        </w:rPr>
        <w:t xml:space="preserve"> = error term. The null hypothesis of the existence of a unit root is Ho: ω=0. Failure to reject the null hypothesis leads to conducting the test on further differences in the series. Further differencing is conducted until stationarity is reached and the null hypothesis is rejected.</w:t>
      </w:r>
    </w:p>
    <w:p w:rsidR="00A81540" w:rsidRPr="00C340F5" w:rsidRDefault="00A81540" w:rsidP="00C340F5">
      <w:pPr>
        <w:autoSpaceDE w:val="0"/>
        <w:autoSpaceDN w:val="0"/>
        <w:adjustRightInd w:val="0"/>
        <w:spacing w:after="0" w:line="240" w:lineRule="auto"/>
        <w:jc w:val="both"/>
        <w:rPr>
          <w:rFonts w:ascii="Palatino Linotype" w:hAnsi="Palatino Linotype"/>
        </w:rPr>
      </w:pPr>
      <w:r w:rsidRPr="00C340F5">
        <w:rPr>
          <w:rFonts w:ascii="Palatino Linotype" w:hAnsi="Palatino Linotype"/>
        </w:rPr>
        <w:t xml:space="preserve"> </w:t>
      </w:r>
    </w:p>
    <w:p w:rsidR="00A81540" w:rsidRPr="00C340F5" w:rsidRDefault="00A81540" w:rsidP="00C340F5">
      <w:pPr>
        <w:spacing w:after="0" w:line="240" w:lineRule="auto"/>
        <w:jc w:val="both"/>
        <w:rPr>
          <w:rFonts w:ascii="Palatino Linotype" w:eastAsiaTheme="minorHAnsi" w:hAnsi="Palatino Linotype"/>
          <w:b/>
        </w:rPr>
      </w:pPr>
      <w:r w:rsidRPr="00C340F5">
        <w:rPr>
          <w:rFonts w:ascii="Palatino Linotype" w:eastAsiaTheme="minorHAnsi" w:hAnsi="Palatino Linotype"/>
          <w:b/>
        </w:rPr>
        <w:t>4.    Data and Discussion</w:t>
      </w:r>
    </w:p>
    <w:p w:rsidR="00803EED" w:rsidRDefault="00A81540" w:rsidP="00C340F5">
      <w:pPr>
        <w:spacing w:after="0" w:line="240" w:lineRule="auto"/>
        <w:jc w:val="both"/>
        <w:rPr>
          <w:rFonts w:ascii="Palatino Linotype" w:eastAsiaTheme="minorHAnsi" w:hAnsi="Palatino Linotype"/>
        </w:rPr>
      </w:pPr>
      <w:r w:rsidRPr="00C340F5">
        <w:rPr>
          <w:rFonts w:ascii="Palatino Linotype" w:eastAsiaTheme="minorHAnsi" w:hAnsi="Palatino Linotype"/>
        </w:rPr>
        <w:t>The performance of the Nigerian economy has not been palatable over the last few decades, a development which has prompted stakeholders in the Nigerian project to cite some factors as responsible. They argued that the downward trend of the country's foreign reserves is one of the key factors. The dismal performance of the external reserves themselves was affected by fluctuation in crude oil receipts occasioned by many factors such as crude oil theft and pipeline vandalism. Table 1 and Fig 1 indicate that the growth of the economy is normally affected by the happenings in the external reserves.</w:t>
      </w:r>
      <w:r w:rsidR="00803EED">
        <w:rPr>
          <w:rFonts w:ascii="Palatino Linotype" w:eastAsiaTheme="minorHAnsi" w:hAnsi="Palatino Linotype"/>
        </w:rPr>
        <w:t xml:space="preserve"> </w:t>
      </w:r>
    </w:p>
    <w:p w:rsidR="00A81540" w:rsidRPr="00C340F5" w:rsidRDefault="00A81540" w:rsidP="00C340F5">
      <w:pPr>
        <w:spacing w:after="0" w:line="240" w:lineRule="auto"/>
        <w:jc w:val="both"/>
        <w:rPr>
          <w:rFonts w:ascii="Palatino Linotype" w:eastAsiaTheme="minorHAnsi" w:hAnsi="Palatino Linotype"/>
        </w:rPr>
      </w:pPr>
      <w:r w:rsidRPr="00C340F5">
        <w:rPr>
          <w:rFonts w:ascii="Palatino Linotype" w:eastAsiaTheme="minorHAnsi" w:hAnsi="Palatino Linotype"/>
        </w:rPr>
        <w:t xml:space="preserve"> </w:t>
      </w:r>
    </w:p>
    <w:p w:rsidR="00A81540" w:rsidRPr="00C340F5" w:rsidRDefault="00A81540" w:rsidP="00C340F5">
      <w:pPr>
        <w:spacing w:after="0" w:line="240" w:lineRule="auto"/>
        <w:jc w:val="both"/>
        <w:rPr>
          <w:rFonts w:ascii="Palatino Linotype" w:eastAsiaTheme="minorHAnsi" w:hAnsi="Palatino Linotype"/>
          <w:b/>
        </w:rPr>
      </w:pPr>
      <w:r w:rsidRPr="00C340F5">
        <w:rPr>
          <w:rFonts w:ascii="Palatino Linotype" w:eastAsiaTheme="minorHAnsi" w:hAnsi="Palatino Linotype"/>
          <w:b/>
        </w:rPr>
        <w:t>Table 1:  Structure of External Reserves and Economic Growth in Nigeria</w:t>
      </w:r>
    </w:p>
    <w:tbl>
      <w:tblPr>
        <w:tblStyle w:val="TableGrid"/>
        <w:tblW w:w="0" w:type="auto"/>
        <w:tblLook w:val="04A0" w:firstRow="1" w:lastRow="0" w:firstColumn="1" w:lastColumn="0" w:noHBand="0" w:noVBand="1"/>
      </w:tblPr>
      <w:tblGrid>
        <w:gridCol w:w="1638"/>
        <w:gridCol w:w="2070"/>
        <w:gridCol w:w="2250"/>
      </w:tblGrid>
      <w:tr w:rsidR="00A81540" w:rsidRPr="00C340F5" w:rsidTr="00250B7E">
        <w:trPr>
          <w:trHeight w:val="135"/>
        </w:trPr>
        <w:tc>
          <w:tcPr>
            <w:tcW w:w="1638" w:type="dxa"/>
            <w:vMerge w:val="restart"/>
          </w:tcPr>
          <w:p w:rsidR="00A81540" w:rsidRPr="00C340F5" w:rsidRDefault="00A81540" w:rsidP="00C340F5">
            <w:pPr>
              <w:spacing w:after="0" w:line="240" w:lineRule="auto"/>
              <w:jc w:val="both"/>
              <w:rPr>
                <w:rFonts w:ascii="Palatino Linotype" w:eastAsiaTheme="minorHAnsi" w:hAnsi="Palatino Linotype"/>
              </w:rPr>
            </w:pPr>
            <w:r w:rsidRPr="00C340F5">
              <w:rPr>
                <w:rFonts w:ascii="Palatino Linotype" w:eastAsiaTheme="minorHAnsi" w:hAnsi="Palatino Linotype"/>
              </w:rPr>
              <w:t>Year</w:t>
            </w:r>
          </w:p>
        </w:tc>
        <w:tc>
          <w:tcPr>
            <w:tcW w:w="4320" w:type="dxa"/>
            <w:gridSpan w:val="2"/>
          </w:tcPr>
          <w:p w:rsidR="00A81540" w:rsidRPr="00C340F5" w:rsidRDefault="00A81540" w:rsidP="00C340F5">
            <w:pPr>
              <w:spacing w:after="0" w:line="240" w:lineRule="auto"/>
              <w:jc w:val="both"/>
              <w:rPr>
                <w:rFonts w:ascii="Palatino Linotype" w:eastAsiaTheme="minorHAnsi" w:hAnsi="Palatino Linotype"/>
              </w:rPr>
            </w:pPr>
            <w:r w:rsidRPr="00C340F5">
              <w:rPr>
                <w:rFonts w:ascii="Palatino Linotype" w:eastAsiaTheme="minorHAnsi" w:hAnsi="Palatino Linotype"/>
              </w:rPr>
              <w:t xml:space="preserve">                                Growth Rate (%)</w:t>
            </w:r>
          </w:p>
        </w:tc>
      </w:tr>
      <w:tr w:rsidR="00A81540" w:rsidRPr="00C340F5" w:rsidTr="00250B7E">
        <w:trPr>
          <w:trHeight w:val="135"/>
        </w:trPr>
        <w:tc>
          <w:tcPr>
            <w:tcW w:w="1638" w:type="dxa"/>
            <w:vMerge/>
          </w:tcPr>
          <w:p w:rsidR="00A81540" w:rsidRPr="00C340F5" w:rsidRDefault="00A81540" w:rsidP="00C340F5">
            <w:pPr>
              <w:spacing w:after="0" w:line="240" w:lineRule="auto"/>
              <w:jc w:val="both"/>
              <w:rPr>
                <w:rFonts w:ascii="Palatino Linotype" w:eastAsiaTheme="minorHAnsi" w:hAnsi="Palatino Linotype"/>
              </w:rPr>
            </w:pPr>
          </w:p>
        </w:tc>
        <w:tc>
          <w:tcPr>
            <w:tcW w:w="2070" w:type="dxa"/>
            <w:tcBorders>
              <w:right w:val="nil"/>
            </w:tcBorders>
          </w:tcPr>
          <w:p w:rsidR="00A81540" w:rsidRPr="00C340F5" w:rsidRDefault="00A81540" w:rsidP="00C340F5">
            <w:pPr>
              <w:spacing w:after="0" w:line="240" w:lineRule="auto"/>
              <w:jc w:val="both"/>
              <w:rPr>
                <w:rFonts w:ascii="Palatino Linotype" w:eastAsiaTheme="minorHAnsi" w:hAnsi="Palatino Linotype"/>
              </w:rPr>
            </w:pPr>
            <w:r w:rsidRPr="00C340F5">
              <w:rPr>
                <w:rFonts w:ascii="Palatino Linotype" w:eastAsiaTheme="minorHAnsi" w:hAnsi="Palatino Linotype"/>
              </w:rPr>
              <w:t>External Reserve</w:t>
            </w:r>
          </w:p>
        </w:tc>
        <w:tc>
          <w:tcPr>
            <w:tcW w:w="2250" w:type="dxa"/>
            <w:tcBorders>
              <w:right w:val="single" w:sz="4" w:space="0" w:color="auto"/>
            </w:tcBorders>
          </w:tcPr>
          <w:p w:rsidR="00A81540" w:rsidRPr="00C340F5" w:rsidRDefault="00A81540" w:rsidP="00C340F5">
            <w:pPr>
              <w:spacing w:after="0" w:line="240" w:lineRule="auto"/>
              <w:jc w:val="both"/>
              <w:rPr>
                <w:rFonts w:ascii="Palatino Linotype" w:eastAsiaTheme="minorHAnsi" w:hAnsi="Palatino Linotype"/>
              </w:rPr>
            </w:pPr>
            <w:r w:rsidRPr="00C340F5">
              <w:rPr>
                <w:rFonts w:ascii="Palatino Linotype" w:eastAsiaTheme="minorHAnsi" w:hAnsi="Palatino Linotype"/>
              </w:rPr>
              <w:t>Economic Growth</w:t>
            </w:r>
          </w:p>
        </w:tc>
      </w:tr>
      <w:tr w:rsidR="00A81540" w:rsidRPr="00C340F5" w:rsidTr="00250B7E">
        <w:tc>
          <w:tcPr>
            <w:tcW w:w="1638" w:type="dxa"/>
          </w:tcPr>
          <w:p w:rsidR="00A81540" w:rsidRPr="00C340F5" w:rsidRDefault="00A81540" w:rsidP="00C340F5">
            <w:pPr>
              <w:spacing w:after="0" w:line="240" w:lineRule="auto"/>
              <w:jc w:val="both"/>
              <w:rPr>
                <w:rFonts w:ascii="Palatino Linotype" w:eastAsiaTheme="minorHAnsi" w:hAnsi="Palatino Linotype"/>
              </w:rPr>
            </w:pPr>
            <w:r w:rsidRPr="00C340F5">
              <w:rPr>
                <w:rFonts w:ascii="Palatino Linotype" w:eastAsiaTheme="minorHAnsi" w:hAnsi="Palatino Linotype"/>
              </w:rPr>
              <w:t>1986-1990</w:t>
            </w:r>
          </w:p>
        </w:tc>
        <w:tc>
          <w:tcPr>
            <w:tcW w:w="2070" w:type="dxa"/>
          </w:tcPr>
          <w:p w:rsidR="00A81540" w:rsidRPr="00C340F5" w:rsidRDefault="00A81540" w:rsidP="00C340F5">
            <w:pPr>
              <w:spacing w:after="0" w:line="240" w:lineRule="auto"/>
              <w:jc w:val="both"/>
              <w:rPr>
                <w:rFonts w:ascii="Palatino Linotype" w:eastAsiaTheme="minorHAnsi" w:hAnsi="Palatino Linotype"/>
              </w:rPr>
            </w:pPr>
            <w:r w:rsidRPr="00C340F5">
              <w:rPr>
                <w:rFonts w:ascii="Palatino Linotype" w:eastAsiaTheme="minorHAnsi" w:hAnsi="Palatino Linotype"/>
              </w:rPr>
              <w:t xml:space="preserve">     51.8</w:t>
            </w:r>
          </w:p>
        </w:tc>
        <w:tc>
          <w:tcPr>
            <w:tcW w:w="2250" w:type="dxa"/>
          </w:tcPr>
          <w:p w:rsidR="00A81540" w:rsidRPr="00C340F5" w:rsidRDefault="00A81540" w:rsidP="00C340F5">
            <w:pPr>
              <w:spacing w:after="0" w:line="240" w:lineRule="auto"/>
              <w:jc w:val="both"/>
              <w:rPr>
                <w:rFonts w:ascii="Palatino Linotype" w:eastAsiaTheme="minorHAnsi" w:hAnsi="Palatino Linotype"/>
              </w:rPr>
            </w:pPr>
            <w:r w:rsidRPr="00C340F5">
              <w:rPr>
                <w:rFonts w:ascii="Palatino Linotype" w:eastAsiaTheme="minorHAnsi" w:hAnsi="Palatino Linotype"/>
              </w:rPr>
              <w:t xml:space="preserve">        5.3</w:t>
            </w:r>
          </w:p>
        </w:tc>
      </w:tr>
      <w:tr w:rsidR="00A81540" w:rsidRPr="00C340F5" w:rsidTr="00250B7E">
        <w:tc>
          <w:tcPr>
            <w:tcW w:w="1638" w:type="dxa"/>
          </w:tcPr>
          <w:p w:rsidR="00A81540" w:rsidRPr="00C340F5" w:rsidRDefault="00A81540" w:rsidP="00C340F5">
            <w:pPr>
              <w:spacing w:after="0" w:line="240" w:lineRule="auto"/>
              <w:jc w:val="both"/>
              <w:rPr>
                <w:rFonts w:ascii="Palatino Linotype" w:eastAsiaTheme="minorHAnsi" w:hAnsi="Palatino Linotype"/>
              </w:rPr>
            </w:pPr>
            <w:r w:rsidRPr="00C340F5">
              <w:rPr>
                <w:rFonts w:ascii="Palatino Linotype" w:eastAsiaTheme="minorHAnsi" w:hAnsi="Palatino Linotype"/>
              </w:rPr>
              <w:t>1991-1995</w:t>
            </w:r>
          </w:p>
        </w:tc>
        <w:tc>
          <w:tcPr>
            <w:tcW w:w="2070" w:type="dxa"/>
          </w:tcPr>
          <w:p w:rsidR="00A81540" w:rsidRPr="00C340F5" w:rsidRDefault="00A81540" w:rsidP="00C340F5">
            <w:pPr>
              <w:spacing w:after="0" w:line="240" w:lineRule="auto"/>
              <w:jc w:val="both"/>
              <w:rPr>
                <w:rFonts w:ascii="Palatino Linotype" w:eastAsiaTheme="minorHAnsi" w:hAnsi="Palatino Linotype"/>
              </w:rPr>
            </w:pPr>
            <w:r w:rsidRPr="00C340F5">
              <w:rPr>
                <w:rFonts w:ascii="Palatino Linotype" w:eastAsiaTheme="minorHAnsi" w:hAnsi="Palatino Linotype"/>
              </w:rPr>
              <w:t xml:space="preserve">     12.3</w:t>
            </w:r>
          </w:p>
        </w:tc>
        <w:tc>
          <w:tcPr>
            <w:tcW w:w="2250" w:type="dxa"/>
          </w:tcPr>
          <w:p w:rsidR="00A81540" w:rsidRPr="00C340F5" w:rsidRDefault="00A81540" w:rsidP="00C340F5">
            <w:pPr>
              <w:spacing w:after="0" w:line="240" w:lineRule="auto"/>
              <w:jc w:val="both"/>
              <w:rPr>
                <w:rFonts w:ascii="Palatino Linotype" w:eastAsiaTheme="minorHAnsi" w:hAnsi="Palatino Linotype"/>
              </w:rPr>
            </w:pPr>
            <w:r w:rsidRPr="00C340F5">
              <w:rPr>
                <w:rFonts w:ascii="Palatino Linotype" w:eastAsiaTheme="minorHAnsi" w:hAnsi="Palatino Linotype"/>
              </w:rPr>
              <w:t xml:space="preserve">        1.1</w:t>
            </w:r>
          </w:p>
        </w:tc>
      </w:tr>
      <w:tr w:rsidR="00A81540" w:rsidRPr="00C340F5" w:rsidTr="00250B7E">
        <w:tc>
          <w:tcPr>
            <w:tcW w:w="1638" w:type="dxa"/>
          </w:tcPr>
          <w:p w:rsidR="00A81540" w:rsidRPr="00C340F5" w:rsidRDefault="00A81540" w:rsidP="00C340F5">
            <w:pPr>
              <w:spacing w:after="0" w:line="240" w:lineRule="auto"/>
              <w:jc w:val="both"/>
              <w:rPr>
                <w:rFonts w:ascii="Palatino Linotype" w:eastAsiaTheme="minorHAnsi" w:hAnsi="Palatino Linotype"/>
              </w:rPr>
            </w:pPr>
            <w:r w:rsidRPr="00C340F5">
              <w:rPr>
                <w:rFonts w:ascii="Palatino Linotype" w:eastAsiaTheme="minorHAnsi" w:hAnsi="Palatino Linotype"/>
              </w:rPr>
              <w:t>1996-2000</w:t>
            </w:r>
          </w:p>
        </w:tc>
        <w:tc>
          <w:tcPr>
            <w:tcW w:w="2070" w:type="dxa"/>
          </w:tcPr>
          <w:p w:rsidR="00A81540" w:rsidRPr="00C340F5" w:rsidRDefault="00A81540" w:rsidP="00C340F5">
            <w:pPr>
              <w:spacing w:after="0" w:line="240" w:lineRule="auto"/>
              <w:jc w:val="both"/>
              <w:rPr>
                <w:rFonts w:ascii="Palatino Linotype" w:eastAsiaTheme="minorHAnsi" w:hAnsi="Palatino Linotype"/>
              </w:rPr>
            </w:pPr>
            <w:r w:rsidRPr="00C340F5">
              <w:rPr>
                <w:rFonts w:ascii="Palatino Linotype" w:eastAsiaTheme="minorHAnsi" w:hAnsi="Palatino Linotype"/>
              </w:rPr>
              <w:t xml:space="preserve">     40.5</w:t>
            </w:r>
          </w:p>
        </w:tc>
        <w:tc>
          <w:tcPr>
            <w:tcW w:w="2250" w:type="dxa"/>
          </w:tcPr>
          <w:p w:rsidR="00A81540" w:rsidRPr="00C340F5" w:rsidRDefault="00A81540" w:rsidP="00C340F5">
            <w:pPr>
              <w:spacing w:after="0" w:line="240" w:lineRule="auto"/>
              <w:jc w:val="both"/>
              <w:rPr>
                <w:rFonts w:ascii="Palatino Linotype" w:eastAsiaTheme="minorHAnsi" w:hAnsi="Palatino Linotype"/>
              </w:rPr>
            </w:pPr>
            <w:r w:rsidRPr="00C340F5">
              <w:rPr>
                <w:rFonts w:ascii="Palatino Linotype" w:eastAsiaTheme="minorHAnsi" w:hAnsi="Palatino Linotype"/>
              </w:rPr>
              <w:t xml:space="preserve">        3.1</w:t>
            </w:r>
          </w:p>
        </w:tc>
      </w:tr>
      <w:tr w:rsidR="00A81540" w:rsidRPr="00C340F5" w:rsidTr="00250B7E">
        <w:tc>
          <w:tcPr>
            <w:tcW w:w="1638" w:type="dxa"/>
          </w:tcPr>
          <w:p w:rsidR="00A81540" w:rsidRPr="00C340F5" w:rsidRDefault="00A81540" w:rsidP="00C340F5">
            <w:pPr>
              <w:spacing w:after="0" w:line="240" w:lineRule="auto"/>
              <w:jc w:val="both"/>
              <w:rPr>
                <w:rFonts w:ascii="Palatino Linotype" w:eastAsiaTheme="minorHAnsi" w:hAnsi="Palatino Linotype"/>
              </w:rPr>
            </w:pPr>
            <w:r w:rsidRPr="00C340F5">
              <w:rPr>
                <w:rFonts w:ascii="Palatino Linotype" w:eastAsiaTheme="minorHAnsi" w:hAnsi="Palatino Linotype"/>
              </w:rPr>
              <w:t>2001-2005</w:t>
            </w:r>
          </w:p>
        </w:tc>
        <w:tc>
          <w:tcPr>
            <w:tcW w:w="2070" w:type="dxa"/>
          </w:tcPr>
          <w:p w:rsidR="00A81540" w:rsidRPr="00C340F5" w:rsidRDefault="00A81540" w:rsidP="00C340F5">
            <w:pPr>
              <w:spacing w:after="0" w:line="240" w:lineRule="auto"/>
              <w:jc w:val="both"/>
              <w:rPr>
                <w:rFonts w:ascii="Palatino Linotype" w:eastAsiaTheme="minorHAnsi" w:hAnsi="Palatino Linotype"/>
              </w:rPr>
            </w:pPr>
            <w:r w:rsidRPr="00C340F5">
              <w:rPr>
                <w:rFonts w:ascii="Palatino Linotype" w:eastAsiaTheme="minorHAnsi" w:hAnsi="Palatino Linotype"/>
              </w:rPr>
              <w:t xml:space="preserve">     33.5</w:t>
            </w:r>
          </w:p>
        </w:tc>
        <w:tc>
          <w:tcPr>
            <w:tcW w:w="2250" w:type="dxa"/>
          </w:tcPr>
          <w:p w:rsidR="00A81540" w:rsidRPr="00C340F5" w:rsidRDefault="00A81540" w:rsidP="00C340F5">
            <w:pPr>
              <w:spacing w:after="0" w:line="240" w:lineRule="auto"/>
              <w:jc w:val="both"/>
              <w:rPr>
                <w:rFonts w:ascii="Palatino Linotype" w:eastAsiaTheme="minorHAnsi" w:hAnsi="Palatino Linotype"/>
              </w:rPr>
            </w:pPr>
            <w:r w:rsidRPr="00C340F5">
              <w:rPr>
                <w:rFonts w:ascii="Palatino Linotype" w:eastAsiaTheme="minorHAnsi" w:hAnsi="Palatino Linotype"/>
              </w:rPr>
              <w:t xml:space="preserve">        9.6</w:t>
            </w:r>
          </w:p>
        </w:tc>
      </w:tr>
      <w:tr w:rsidR="00A81540" w:rsidRPr="00C340F5" w:rsidTr="00250B7E">
        <w:tc>
          <w:tcPr>
            <w:tcW w:w="1638" w:type="dxa"/>
          </w:tcPr>
          <w:p w:rsidR="00A81540" w:rsidRPr="00C340F5" w:rsidRDefault="00A81540" w:rsidP="00C340F5">
            <w:pPr>
              <w:spacing w:after="0" w:line="240" w:lineRule="auto"/>
              <w:jc w:val="both"/>
              <w:rPr>
                <w:rFonts w:ascii="Palatino Linotype" w:eastAsiaTheme="minorHAnsi" w:hAnsi="Palatino Linotype"/>
              </w:rPr>
            </w:pPr>
            <w:r w:rsidRPr="00C340F5">
              <w:rPr>
                <w:rFonts w:ascii="Palatino Linotype" w:eastAsiaTheme="minorHAnsi" w:hAnsi="Palatino Linotype"/>
              </w:rPr>
              <w:t>2006-2010</w:t>
            </w:r>
          </w:p>
        </w:tc>
        <w:tc>
          <w:tcPr>
            <w:tcW w:w="2070" w:type="dxa"/>
          </w:tcPr>
          <w:p w:rsidR="00A81540" w:rsidRPr="00C340F5" w:rsidRDefault="00A81540" w:rsidP="00C340F5">
            <w:pPr>
              <w:spacing w:after="0" w:line="240" w:lineRule="auto"/>
              <w:jc w:val="both"/>
              <w:rPr>
                <w:rFonts w:ascii="Palatino Linotype" w:eastAsiaTheme="minorHAnsi" w:hAnsi="Palatino Linotype"/>
              </w:rPr>
            </w:pPr>
            <w:r w:rsidRPr="00C340F5">
              <w:rPr>
                <w:rFonts w:ascii="Palatino Linotype" w:eastAsiaTheme="minorHAnsi" w:hAnsi="Palatino Linotype"/>
              </w:rPr>
              <w:t xml:space="preserve">     12.8</w:t>
            </w:r>
          </w:p>
        </w:tc>
        <w:tc>
          <w:tcPr>
            <w:tcW w:w="2250" w:type="dxa"/>
          </w:tcPr>
          <w:p w:rsidR="00A81540" w:rsidRPr="00C340F5" w:rsidRDefault="00A81540" w:rsidP="00C340F5">
            <w:pPr>
              <w:spacing w:after="0" w:line="240" w:lineRule="auto"/>
              <w:jc w:val="both"/>
              <w:rPr>
                <w:rFonts w:ascii="Palatino Linotype" w:eastAsiaTheme="minorHAnsi" w:hAnsi="Palatino Linotype"/>
              </w:rPr>
            </w:pPr>
            <w:r w:rsidRPr="00C340F5">
              <w:rPr>
                <w:rFonts w:ascii="Palatino Linotype" w:eastAsiaTheme="minorHAnsi" w:hAnsi="Palatino Linotype"/>
              </w:rPr>
              <w:t xml:space="preserve">        7.8</w:t>
            </w:r>
          </w:p>
        </w:tc>
      </w:tr>
      <w:tr w:rsidR="00A81540" w:rsidRPr="00C340F5" w:rsidTr="00250B7E">
        <w:tc>
          <w:tcPr>
            <w:tcW w:w="1638" w:type="dxa"/>
          </w:tcPr>
          <w:p w:rsidR="00A81540" w:rsidRPr="00C340F5" w:rsidRDefault="00A81540" w:rsidP="00C340F5">
            <w:pPr>
              <w:spacing w:after="0" w:line="240" w:lineRule="auto"/>
              <w:jc w:val="both"/>
              <w:rPr>
                <w:rFonts w:ascii="Palatino Linotype" w:eastAsiaTheme="minorHAnsi" w:hAnsi="Palatino Linotype"/>
              </w:rPr>
            </w:pPr>
            <w:r w:rsidRPr="00C340F5">
              <w:rPr>
                <w:rFonts w:ascii="Palatino Linotype" w:eastAsiaTheme="minorHAnsi" w:hAnsi="Palatino Linotype"/>
              </w:rPr>
              <w:t>2011-2015</w:t>
            </w:r>
          </w:p>
        </w:tc>
        <w:tc>
          <w:tcPr>
            <w:tcW w:w="2070" w:type="dxa"/>
          </w:tcPr>
          <w:p w:rsidR="00A81540" w:rsidRPr="00C340F5" w:rsidRDefault="00A81540" w:rsidP="00C340F5">
            <w:pPr>
              <w:spacing w:after="0" w:line="240" w:lineRule="auto"/>
              <w:jc w:val="both"/>
              <w:rPr>
                <w:rFonts w:ascii="Palatino Linotype" w:eastAsiaTheme="minorHAnsi" w:hAnsi="Palatino Linotype"/>
              </w:rPr>
            </w:pPr>
            <w:r w:rsidRPr="00C340F5">
              <w:rPr>
                <w:rFonts w:ascii="Palatino Linotype" w:eastAsiaTheme="minorHAnsi" w:hAnsi="Palatino Linotype"/>
              </w:rPr>
              <w:t xml:space="preserve">       3.6</w:t>
            </w:r>
          </w:p>
        </w:tc>
        <w:tc>
          <w:tcPr>
            <w:tcW w:w="2250" w:type="dxa"/>
          </w:tcPr>
          <w:p w:rsidR="00A81540" w:rsidRPr="00C340F5" w:rsidRDefault="00A81540" w:rsidP="00C340F5">
            <w:pPr>
              <w:spacing w:after="0" w:line="240" w:lineRule="auto"/>
              <w:jc w:val="both"/>
              <w:rPr>
                <w:rFonts w:ascii="Palatino Linotype" w:eastAsiaTheme="minorHAnsi" w:hAnsi="Palatino Linotype"/>
              </w:rPr>
            </w:pPr>
            <w:r w:rsidRPr="00C340F5">
              <w:rPr>
                <w:rFonts w:ascii="Palatino Linotype" w:eastAsiaTheme="minorHAnsi" w:hAnsi="Palatino Linotype"/>
              </w:rPr>
              <w:t xml:space="preserve">        4.8</w:t>
            </w:r>
          </w:p>
        </w:tc>
      </w:tr>
      <w:tr w:rsidR="00A81540" w:rsidRPr="00C340F5" w:rsidTr="00250B7E">
        <w:tc>
          <w:tcPr>
            <w:tcW w:w="1638" w:type="dxa"/>
          </w:tcPr>
          <w:p w:rsidR="00A81540" w:rsidRPr="00C340F5" w:rsidRDefault="00A81540" w:rsidP="00C340F5">
            <w:pPr>
              <w:spacing w:after="0" w:line="240" w:lineRule="auto"/>
              <w:jc w:val="both"/>
              <w:rPr>
                <w:rFonts w:ascii="Palatino Linotype" w:eastAsiaTheme="minorHAnsi" w:hAnsi="Palatino Linotype"/>
              </w:rPr>
            </w:pPr>
            <w:r w:rsidRPr="00C340F5">
              <w:rPr>
                <w:rFonts w:ascii="Palatino Linotype" w:eastAsiaTheme="minorHAnsi" w:hAnsi="Palatino Linotype"/>
              </w:rPr>
              <w:t>2016</w:t>
            </w:r>
          </w:p>
        </w:tc>
        <w:tc>
          <w:tcPr>
            <w:tcW w:w="2070" w:type="dxa"/>
          </w:tcPr>
          <w:p w:rsidR="00A81540" w:rsidRPr="00C340F5" w:rsidRDefault="00A81540" w:rsidP="00C340F5">
            <w:pPr>
              <w:spacing w:after="0" w:line="240" w:lineRule="auto"/>
              <w:jc w:val="both"/>
              <w:rPr>
                <w:rFonts w:ascii="Palatino Linotype" w:eastAsiaTheme="minorHAnsi" w:hAnsi="Palatino Linotype"/>
              </w:rPr>
            </w:pPr>
            <w:r w:rsidRPr="00C340F5">
              <w:rPr>
                <w:rFonts w:ascii="Palatino Linotype" w:eastAsiaTheme="minorHAnsi" w:hAnsi="Palatino Linotype"/>
              </w:rPr>
              <w:t xml:space="preserve">      -4.6</w:t>
            </w:r>
          </w:p>
        </w:tc>
        <w:tc>
          <w:tcPr>
            <w:tcW w:w="2250" w:type="dxa"/>
          </w:tcPr>
          <w:p w:rsidR="00A81540" w:rsidRPr="00C340F5" w:rsidRDefault="00A81540" w:rsidP="00C340F5">
            <w:pPr>
              <w:spacing w:after="0" w:line="240" w:lineRule="auto"/>
              <w:jc w:val="both"/>
              <w:rPr>
                <w:rFonts w:ascii="Palatino Linotype" w:eastAsiaTheme="minorHAnsi" w:hAnsi="Palatino Linotype"/>
              </w:rPr>
            </w:pPr>
            <w:r w:rsidRPr="00C340F5">
              <w:rPr>
                <w:rFonts w:ascii="Palatino Linotype" w:eastAsiaTheme="minorHAnsi" w:hAnsi="Palatino Linotype"/>
              </w:rPr>
              <w:t xml:space="preserve">       -1.5</w:t>
            </w:r>
          </w:p>
        </w:tc>
      </w:tr>
      <w:tr w:rsidR="00A81540" w:rsidRPr="00C340F5" w:rsidTr="00250B7E">
        <w:tc>
          <w:tcPr>
            <w:tcW w:w="1638" w:type="dxa"/>
          </w:tcPr>
          <w:p w:rsidR="00A81540" w:rsidRPr="00C340F5" w:rsidRDefault="00A81540" w:rsidP="00C340F5">
            <w:pPr>
              <w:spacing w:after="0" w:line="240" w:lineRule="auto"/>
              <w:jc w:val="both"/>
              <w:rPr>
                <w:rFonts w:ascii="Palatino Linotype" w:eastAsiaTheme="minorHAnsi" w:hAnsi="Palatino Linotype"/>
              </w:rPr>
            </w:pPr>
            <w:r w:rsidRPr="00C340F5">
              <w:rPr>
                <w:rFonts w:ascii="Palatino Linotype" w:eastAsiaTheme="minorHAnsi" w:hAnsi="Palatino Linotype"/>
              </w:rPr>
              <w:t>2017</w:t>
            </w:r>
          </w:p>
        </w:tc>
        <w:tc>
          <w:tcPr>
            <w:tcW w:w="2070" w:type="dxa"/>
          </w:tcPr>
          <w:p w:rsidR="00A81540" w:rsidRPr="00C340F5" w:rsidRDefault="00A81540" w:rsidP="00C340F5">
            <w:pPr>
              <w:spacing w:after="0" w:line="240" w:lineRule="auto"/>
              <w:jc w:val="both"/>
              <w:rPr>
                <w:rFonts w:ascii="Palatino Linotype" w:eastAsiaTheme="minorHAnsi" w:hAnsi="Palatino Linotype"/>
              </w:rPr>
            </w:pPr>
            <w:r w:rsidRPr="00C340F5">
              <w:rPr>
                <w:rFonts w:ascii="Palatino Linotype" w:eastAsiaTheme="minorHAnsi" w:hAnsi="Palatino Linotype"/>
              </w:rPr>
              <w:t xml:space="preserve">     45.8</w:t>
            </w:r>
          </w:p>
        </w:tc>
        <w:tc>
          <w:tcPr>
            <w:tcW w:w="2250" w:type="dxa"/>
          </w:tcPr>
          <w:p w:rsidR="00A81540" w:rsidRPr="00C340F5" w:rsidRDefault="00A81540" w:rsidP="00C340F5">
            <w:pPr>
              <w:spacing w:after="0" w:line="240" w:lineRule="auto"/>
              <w:jc w:val="both"/>
              <w:rPr>
                <w:rFonts w:ascii="Palatino Linotype" w:eastAsiaTheme="minorHAnsi" w:hAnsi="Palatino Linotype"/>
              </w:rPr>
            </w:pPr>
            <w:r w:rsidRPr="00C340F5">
              <w:rPr>
                <w:rFonts w:ascii="Palatino Linotype" w:eastAsiaTheme="minorHAnsi" w:hAnsi="Palatino Linotype"/>
              </w:rPr>
              <w:t xml:space="preserve">        0.8</w:t>
            </w:r>
          </w:p>
        </w:tc>
      </w:tr>
      <w:tr w:rsidR="00A81540" w:rsidRPr="00C340F5" w:rsidTr="00250B7E">
        <w:tc>
          <w:tcPr>
            <w:tcW w:w="1638" w:type="dxa"/>
          </w:tcPr>
          <w:p w:rsidR="00A81540" w:rsidRPr="00C340F5" w:rsidRDefault="00A81540" w:rsidP="00C340F5">
            <w:pPr>
              <w:spacing w:after="0" w:line="240" w:lineRule="auto"/>
              <w:jc w:val="both"/>
              <w:rPr>
                <w:rFonts w:ascii="Palatino Linotype" w:eastAsiaTheme="minorHAnsi" w:hAnsi="Palatino Linotype"/>
              </w:rPr>
            </w:pPr>
            <w:r w:rsidRPr="00C340F5">
              <w:rPr>
                <w:rFonts w:ascii="Palatino Linotype" w:eastAsiaTheme="minorHAnsi" w:hAnsi="Palatino Linotype"/>
              </w:rPr>
              <w:t>2018</w:t>
            </w:r>
          </w:p>
        </w:tc>
        <w:tc>
          <w:tcPr>
            <w:tcW w:w="2070" w:type="dxa"/>
          </w:tcPr>
          <w:p w:rsidR="00A81540" w:rsidRPr="00C340F5" w:rsidRDefault="00A81540" w:rsidP="00C340F5">
            <w:pPr>
              <w:spacing w:after="0" w:line="240" w:lineRule="auto"/>
              <w:jc w:val="both"/>
              <w:rPr>
                <w:rFonts w:ascii="Palatino Linotype" w:eastAsiaTheme="minorHAnsi" w:hAnsi="Palatino Linotype"/>
              </w:rPr>
            </w:pPr>
            <w:r w:rsidRPr="00C340F5">
              <w:rPr>
                <w:rFonts w:ascii="Palatino Linotype" w:eastAsiaTheme="minorHAnsi" w:hAnsi="Palatino Linotype"/>
              </w:rPr>
              <w:t xml:space="preserve">     13.1</w:t>
            </w:r>
          </w:p>
        </w:tc>
        <w:tc>
          <w:tcPr>
            <w:tcW w:w="2250" w:type="dxa"/>
          </w:tcPr>
          <w:p w:rsidR="00A81540" w:rsidRPr="00C340F5" w:rsidRDefault="00A81540" w:rsidP="00C340F5">
            <w:pPr>
              <w:spacing w:after="0" w:line="240" w:lineRule="auto"/>
              <w:jc w:val="both"/>
              <w:rPr>
                <w:rFonts w:ascii="Palatino Linotype" w:eastAsiaTheme="minorHAnsi" w:hAnsi="Palatino Linotype"/>
              </w:rPr>
            </w:pPr>
            <w:r w:rsidRPr="00C340F5">
              <w:rPr>
                <w:rFonts w:ascii="Palatino Linotype" w:eastAsiaTheme="minorHAnsi" w:hAnsi="Palatino Linotype"/>
              </w:rPr>
              <w:t xml:space="preserve">        1.9</w:t>
            </w:r>
          </w:p>
        </w:tc>
      </w:tr>
      <w:tr w:rsidR="00A81540" w:rsidRPr="00C340F5" w:rsidTr="00250B7E">
        <w:tc>
          <w:tcPr>
            <w:tcW w:w="1638" w:type="dxa"/>
          </w:tcPr>
          <w:p w:rsidR="00A81540" w:rsidRPr="00C340F5" w:rsidRDefault="00A81540" w:rsidP="00C340F5">
            <w:pPr>
              <w:spacing w:after="0" w:line="240" w:lineRule="auto"/>
              <w:jc w:val="both"/>
              <w:rPr>
                <w:rFonts w:ascii="Palatino Linotype" w:eastAsiaTheme="minorHAnsi" w:hAnsi="Palatino Linotype"/>
              </w:rPr>
            </w:pPr>
            <w:r w:rsidRPr="00C340F5">
              <w:rPr>
                <w:rFonts w:ascii="Palatino Linotype" w:eastAsiaTheme="minorHAnsi" w:hAnsi="Palatino Linotype"/>
              </w:rPr>
              <w:t>2019</w:t>
            </w:r>
          </w:p>
        </w:tc>
        <w:tc>
          <w:tcPr>
            <w:tcW w:w="2070" w:type="dxa"/>
          </w:tcPr>
          <w:p w:rsidR="00A81540" w:rsidRPr="00C340F5" w:rsidRDefault="00A81540" w:rsidP="00C340F5">
            <w:pPr>
              <w:spacing w:after="0" w:line="240" w:lineRule="auto"/>
              <w:jc w:val="both"/>
              <w:rPr>
                <w:rFonts w:ascii="Palatino Linotype" w:eastAsiaTheme="minorHAnsi" w:hAnsi="Palatino Linotype"/>
              </w:rPr>
            </w:pPr>
            <w:r w:rsidRPr="00C340F5">
              <w:rPr>
                <w:rFonts w:ascii="Palatino Linotype" w:eastAsiaTheme="minorHAnsi" w:hAnsi="Palatino Linotype"/>
              </w:rPr>
              <w:t xml:space="preserve">     -5.1</w:t>
            </w:r>
          </w:p>
        </w:tc>
        <w:tc>
          <w:tcPr>
            <w:tcW w:w="2250" w:type="dxa"/>
          </w:tcPr>
          <w:p w:rsidR="00A81540" w:rsidRPr="00C340F5" w:rsidRDefault="00A81540" w:rsidP="00C340F5">
            <w:pPr>
              <w:spacing w:after="0" w:line="240" w:lineRule="auto"/>
              <w:jc w:val="both"/>
              <w:rPr>
                <w:rFonts w:ascii="Palatino Linotype" w:eastAsiaTheme="minorHAnsi" w:hAnsi="Palatino Linotype"/>
              </w:rPr>
            </w:pPr>
            <w:r w:rsidRPr="00C340F5">
              <w:rPr>
                <w:rFonts w:ascii="Palatino Linotype" w:eastAsiaTheme="minorHAnsi" w:hAnsi="Palatino Linotype"/>
              </w:rPr>
              <w:t xml:space="preserve">        2.3</w:t>
            </w:r>
          </w:p>
        </w:tc>
      </w:tr>
      <w:tr w:rsidR="00A81540" w:rsidRPr="00C340F5" w:rsidTr="00250B7E">
        <w:tc>
          <w:tcPr>
            <w:tcW w:w="1638" w:type="dxa"/>
          </w:tcPr>
          <w:p w:rsidR="00A81540" w:rsidRPr="00C340F5" w:rsidRDefault="00A81540" w:rsidP="00C340F5">
            <w:pPr>
              <w:spacing w:after="0" w:line="240" w:lineRule="auto"/>
              <w:jc w:val="both"/>
              <w:rPr>
                <w:rFonts w:ascii="Palatino Linotype" w:eastAsiaTheme="minorHAnsi" w:hAnsi="Palatino Linotype"/>
              </w:rPr>
            </w:pPr>
            <w:r w:rsidRPr="00C340F5">
              <w:rPr>
                <w:rFonts w:ascii="Palatino Linotype" w:eastAsiaTheme="minorHAnsi" w:hAnsi="Palatino Linotype"/>
              </w:rPr>
              <w:t>2020</w:t>
            </w:r>
          </w:p>
        </w:tc>
        <w:tc>
          <w:tcPr>
            <w:tcW w:w="2070" w:type="dxa"/>
          </w:tcPr>
          <w:p w:rsidR="00A81540" w:rsidRPr="00C340F5" w:rsidRDefault="00A81540" w:rsidP="00C340F5">
            <w:pPr>
              <w:spacing w:after="0" w:line="240" w:lineRule="auto"/>
              <w:jc w:val="both"/>
              <w:rPr>
                <w:rFonts w:ascii="Palatino Linotype" w:eastAsiaTheme="minorHAnsi" w:hAnsi="Palatino Linotype"/>
              </w:rPr>
            </w:pPr>
            <w:r w:rsidRPr="00C340F5">
              <w:rPr>
                <w:rFonts w:ascii="Palatino Linotype" w:eastAsiaTheme="minorHAnsi" w:hAnsi="Palatino Linotype"/>
              </w:rPr>
              <w:t xml:space="preserve">   -15.3</w:t>
            </w:r>
          </w:p>
        </w:tc>
        <w:tc>
          <w:tcPr>
            <w:tcW w:w="2250" w:type="dxa"/>
          </w:tcPr>
          <w:p w:rsidR="00A81540" w:rsidRPr="00C340F5" w:rsidRDefault="00A81540" w:rsidP="00C340F5">
            <w:pPr>
              <w:spacing w:after="0" w:line="240" w:lineRule="auto"/>
              <w:jc w:val="both"/>
              <w:rPr>
                <w:rFonts w:ascii="Palatino Linotype" w:eastAsiaTheme="minorHAnsi" w:hAnsi="Palatino Linotype"/>
              </w:rPr>
            </w:pPr>
            <w:r w:rsidRPr="00C340F5">
              <w:rPr>
                <w:rFonts w:ascii="Palatino Linotype" w:eastAsiaTheme="minorHAnsi" w:hAnsi="Palatino Linotype"/>
              </w:rPr>
              <w:t xml:space="preserve">       -1.9</w:t>
            </w:r>
          </w:p>
        </w:tc>
      </w:tr>
    </w:tbl>
    <w:p w:rsidR="00A81540" w:rsidRPr="00C340F5" w:rsidRDefault="00A81540" w:rsidP="00C340F5">
      <w:pPr>
        <w:spacing w:after="0" w:line="240" w:lineRule="auto"/>
        <w:jc w:val="both"/>
        <w:rPr>
          <w:rFonts w:ascii="Palatino Linotype" w:eastAsiaTheme="minorHAnsi" w:hAnsi="Palatino Linotype"/>
          <w:i/>
        </w:rPr>
      </w:pPr>
      <w:r w:rsidRPr="00C340F5">
        <w:rPr>
          <w:rFonts w:ascii="Palatino Linotype" w:eastAsiaTheme="minorHAnsi" w:hAnsi="Palatino Linotype"/>
          <w:i/>
        </w:rPr>
        <w:t>Source: CBN Statistical Bulletin (2020)</w:t>
      </w:r>
    </w:p>
    <w:p w:rsidR="00A81540" w:rsidRPr="00C340F5" w:rsidRDefault="00A81540" w:rsidP="00C340F5">
      <w:pPr>
        <w:spacing w:after="0" w:line="240" w:lineRule="auto"/>
        <w:jc w:val="both"/>
        <w:rPr>
          <w:rFonts w:ascii="Palatino Linotype" w:eastAsiaTheme="minorHAnsi" w:hAnsi="Palatino Linotype"/>
        </w:rPr>
      </w:pPr>
    </w:p>
    <w:p w:rsidR="00A81540" w:rsidRPr="00C340F5" w:rsidRDefault="00A81540" w:rsidP="00C340F5">
      <w:pPr>
        <w:spacing w:after="0" w:line="240" w:lineRule="auto"/>
        <w:jc w:val="both"/>
        <w:rPr>
          <w:rFonts w:ascii="Palatino Linotype" w:eastAsiaTheme="minorHAnsi" w:hAnsi="Palatino Linotype"/>
          <w:b/>
        </w:rPr>
      </w:pPr>
      <w:r w:rsidRPr="00C340F5">
        <w:rPr>
          <w:rFonts w:ascii="Palatino Linotype" w:eastAsiaTheme="minorHAnsi" w:hAnsi="Palatino Linotype"/>
          <w:b/>
        </w:rPr>
        <w:t>Fig 1: Trend of External Reserves and Economic Growth in Nigeria</w:t>
      </w:r>
    </w:p>
    <w:p w:rsidR="00A81540" w:rsidRPr="00C340F5" w:rsidRDefault="00A81540" w:rsidP="00C340F5">
      <w:pPr>
        <w:spacing w:after="0" w:line="240" w:lineRule="auto"/>
        <w:jc w:val="both"/>
        <w:rPr>
          <w:rFonts w:ascii="Palatino Linotype" w:eastAsiaTheme="minorHAnsi" w:hAnsi="Palatino Linotype"/>
        </w:rPr>
      </w:pPr>
      <w:r w:rsidRPr="00C340F5">
        <w:rPr>
          <w:rFonts w:ascii="Palatino Linotype" w:hAnsi="Palatino Linotype"/>
          <w:noProof/>
        </w:rPr>
        <w:drawing>
          <wp:inline distT="0" distB="0" distL="0" distR="0" wp14:anchorId="3902D675" wp14:editId="3CEA28BC">
            <wp:extent cx="5657850" cy="18669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81540" w:rsidRPr="00C340F5" w:rsidRDefault="00A81540" w:rsidP="00C340F5">
      <w:pPr>
        <w:spacing w:after="0" w:line="240" w:lineRule="auto"/>
        <w:jc w:val="both"/>
        <w:rPr>
          <w:rFonts w:ascii="Palatino Linotype" w:eastAsiaTheme="minorHAnsi" w:hAnsi="Palatino Linotype"/>
        </w:rPr>
      </w:pPr>
      <w:r w:rsidRPr="00C340F5">
        <w:rPr>
          <w:rFonts w:ascii="Palatino Linotype" w:eastAsiaTheme="minorHAnsi" w:hAnsi="Palatino Linotype"/>
        </w:rPr>
        <w:t>Source: Authors’ Computation</w:t>
      </w:r>
    </w:p>
    <w:p w:rsidR="00A81540" w:rsidRDefault="00A81540" w:rsidP="00C340F5">
      <w:pPr>
        <w:spacing w:after="0" w:line="240" w:lineRule="auto"/>
        <w:jc w:val="both"/>
        <w:rPr>
          <w:rFonts w:ascii="Palatino Linotype" w:hAnsi="Palatino Linotype"/>
          <w:bCs/>
        </w:rPr>
      </w:pPr>
      <w:r w:rsidRPr="00C340F5">
        <w:rPr>
          <w:rFonts w:ascii="Palatino Linotype" w:eastAsiaTheme="minorHAnsi" w:hAnsi="Palatino Linotype"/>
        </w:rPr>
        <w:lastRenderedPageBreak/>
        <w:t xml:space="preserve">For instance, when external reserves growth was 51.8% in 1986-1990, the economic growth rate averaged 5.3% but a decline in external reserves to 12.3% in 1991-1995 saw the economic growth rate plummet to 1.1%. In 2016, as external reserves entered the negative territory of -4.6% the growth rate of the economy became embarrassing as it recorded -1.5% and the Nigerian economy find its way into a recession. The covid-19 pandemic did not spear the economy rather external reserves and economic growth recorded -15.3% and -1.9% respectively in 2020. The analytical approach of the study begins with the stationarity test. Thus, </w:t>
      </w:r>
      <w:r w:rsidRPr="00C340F5">
        <w:rPr>
          <w:rFonts w:ascii="Palatino Linotype" w:hAnsi="Palatino Linotype"/>
          <w:bCs/>
        </w:rPr>
        <w:t>Table 2 indicates that the variables were stationary at both integration of order 0 and 1 at a 5% level of significance in the ADF and the PP tests. This implies that the use of the ARDL techniques is more appropriate for further analysis.</w:t>
      </w:r>
    </w:p>
    <w:p w:rsidR="00803EED" w:rsidRPr="00C340F5" w:rsidRDefault="00803EED" w:rsidP="00C340F5">
      <w:pPr>
        <w:spacing w:after="0" w:line="240" w:lineRule="auto"/>
        <w:jc w:val="both"/>
        <w:rPr>
          <w:rFonts w:ascii="Palatino Linotype" w:hAnsi="Palatino Linotype"/>
          <w:bCs/>
        </w:rPr>
      </w:pPr>
    </w:p>
    <w:p w:rsidR="00A81540" w:rsidRPr="00C340F5" w:rsidRDefault="00A81540" w:rsidP="00C340F5">
      <w:pPr>
        <w:pStyle w:val="NoSpacing"/>
        <w:rPr>
          <w:rFonts w:ascii="Palatino Linotype" w:hAnsi="Palatino Linotype"/>
          <w:b/>
        </w:rPr>
      </w:pPr>
      <w:r w:rsidRPr="00C340F5">
        <w:rPr>
          <w:rFonts w:ascii="Palatino Linotype" w:hAnsi="Palatino Linotype"/>
          <w:b/>
        </w:rPr>
        <w:t>Table 2: Results of unit root test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38"/>
        <w:gridCol w:w="1530"/>
        <w:gridCol w:w="1530"/>
        <w:gridCol w:w="900"/>
        <w:gridCol w:w="1440"/>
        <w:gridCol w:w="1530"/>
        <w:gridCol w:w="900"/>
      </w:tblGrid>
      <w:tr w:rsidR="00A81540" w:rsidRPr="00C340F5" w:rsidTr="00250B7E">
        <w:trPr>
          <w:trHeight w:val="244"/>
        </w:trPr>
        <w:tc>
          <w:tcPr>
            <w:tcW w:w="5598" w:type="dxa"/>
            <w:gridSpan w:val="4"/>
            <w:tcBorders>
              <w:bottom w:val="single" w:sz="4" w:space="0" w:color="auto"/>
              <w:right w:val="single" w:sz="4" w:space="0" w:color="auto"/>
            </w:tcBorders>
          </w:tcPr>
          <w:p w:rsidR="00A81540" w:rsidRPr="00C340F5" w:rsidRDefault="00A81540" w:rsidP="00C340F5">
            <w:pPr>
              <w:pStyle w:val="NoSpacing"/>
              <w:rPr>
                <w:rFonts w:ascii="Palatino Linotype" w:hAnsi="Palatino Linotype"/>
              </w:rPr>
            </w:pPr>
            <w:r w:rsidRPr="00C340F5">
              <w:rPr>
                <w:rFonts w:ascii="Palatino Linotype" w:hAnsi="Palatino Linotype"/>
              </w:rPr>
              <w:t xml:space="preserve">    Augmented Dickey-Fuller Test</w:t>
            </w:r>
          </w:p>
        </w:tc>
        <w:tc>
          <w:tcPr>
            <w:tcW w:w="3870" w:type="dxa"/>
            <w:gridSpan w:val="3"/>
            <w:tcBorders>
              <w:left w:val="single" w:sz="4" w:space="0" w:color="auto"/>
              <w:bottom w:val="single" w:sz="4" w:space="0" w:color="auto"/>
            </w:tcBorders>
          </w:tcPr>
          <w:p w:rsidR="00A81540" w:rsidRPr="00C340F5" w:rsidRDefault="00A81540" w:rsidP="00C340F5">
            <w:pPr>
              <w:pStyle w:val="NoSpacing"/>
              <w:rPr>
                <w:rFonts w:ascii="Palatino Linotype" w:hAnsi="Palatino Linotype"/>
              </w:rPr>
            </w:pPr>
            <w:r w:rsidRPr="00C340F5">
              <w:rPr>
                <w:rFonts w:ascii="Palatino Linotype" w:hAnsi="Palatino Linotype"/>
              </w:rPr>
              <w:t>Phillips-Peron Test</w:t>
            </w:r>
          </w:p>
        </w:tc>
      </w:tr>
      <w:tr w:rsidR="00A81540" w:rsidRPr="00C340F5" w:rsidTr="00250B7E">
        <w:trPr>
          <w:trHeight w:val="350"/>
        </w:trPr>
        <w:tc>
          <w:tcPr>
            <w:tcW w:w="1638" w:type="dxa"/>
            <w:tcBorders>
              <w:top w:val="single" w:sz="4" w:space="0" w:color="auto"/>
            </w:tcBorders>
          </w:tcPr>
          <w:p w:rsidR="00A81540" w:rsidRPr="00C340F5" w:rsidRDefault="00A81540" w:rsidP="00C340F5">
            <w:pPr>
              <w:pStyle w:val="NoSpacing"/>
              <w:rPr>
                <w:rFonts w:ascii="Palatino Linotype" w:hAnsi="Palatino Linotype"/>
              </w:rPr>
            </w:pPr>
            <w:r w:rsidRPr="00C340F5">
              <w:rPr>
                <w:rFonts w:ascii="Palatino Linotype" w:hAnsi="Palatino Linotype"/>
              </w:rPr>
              <w:t>Variable</w:t>
            </w:r>
          </w:p>
        </w:tc>
        <w:tc>
          <w:tcPr>
            <w:tcW w:w="1530" w:type="dxa"/>
            <w:tcBorders>
              <w:top w:val="single" w:sz="4" w:space="0" w:color="auto"/>
            </w:tcBorders>
          </w:tcPr>
          <w:p w:rsidR="00A81540" w:rsidRPr="00C340F5" w:rsidRDefault="00A81540" w:rsidP="00C340F5">
            <w:pPr>
              <w:pStyle w:val="NoSpacing"/>
              <w:rPr>
                <w:rFonts w:ascii="Palatino Linotype" w:hAnsi="Palatino Linotype"/>
              </w:rPr>
            </w:pPr>
            <w:r w:rsidRPr="00C340F5">
              <w:rPr>
                <w:rFonts w:ascii="Palatino Linotype" w:hAnsi="Palatino Linotype"/>
              </w:rPr>
              <w:t>Level</w:t>
            </w:r>
          </w:p>
        </w:tc>
        <w:tc>
          <w:tcPr>
            <w:tcW w:w="1530" w:type="dxa"/>
            <w:tcBorders>
              <w:top w:val="single" w:sz="4" w:space="0" w:color="auto"/>
            </w:tcBorders>
          </w:tcPr>
          <w:p w:rsidR="00A81540" w:rsidRPr="00C340F5" w:rsidRDefault="00A81540" w:rsidP="00C340F5">
            <w:pPr>
              <w:pStyle w:val="NoSpacing"/>
              <w:rPr>
                <w:rFonts w:ascii="Palatino Linotype" w:hAnsi="Palatino Linotype"/>
              </w:rPr>
            </w:pPr>
            <w:r w:rsidRPr="00C340F5">
              <w:rPr>
                <w:rFonts w:ascii="Palatino Linotype" w:hAnsi="Palatino Linotype"/>
              </w:rPr>
              <w:t xml:space="preserve">First </w:t>
            </w:r>
            <w:proofErr w:type="spellStart"/>
            <w:r w:rsidRPr="00C340F5">
              <w:rPr>
                <w:rFonts w:ascii="Palatino Linotype" w:hAnsi="Palatino Linotype"/>
              </w:rPr>
              <w:t>Dif</w:t>
            </w:r>
            <w:proofErr w:type="spellEnd"/>
          </w:p>
        </w:tc>
        <w:tc>
          <w:tcPr>
            <w:tcW w:w="900" w:type="dxa"/>
            <w:tcBorders>
              <w:top w:val="single" w:sz="4" w:space="0" w:color="auto"/>
              <w:right w:val="single" w:sz="4" w:space="0" w:color="auto"/>
            </w:tcBorders>
          </w:tcPr>
          <w:p w:rsidR="00A81540" w:rsidRPr="00C340F5" w:rsidRDefault="00A81540" w:rsidP="00C340F5">
            <w:pPr>
              <w:pStyle w:val="NoSpacing"/>
              <w:rPr>
                <w:rFonts w:ascii="Palatino Linotype" w:hAnsi="Palatino Linotype"/>
              </w:rPr>
            </w:pPr>
            <w:r w:rsidRPr="00C340F5">
              <w:rPr>
                <w:rFonts w:ascii="Palatino Linotype" w:hAnsi="Palatino Linotype"/>
              </w:rPr>
              <w:t>Order</w:t>
            </w:r>
          </w:p>
        </w:tc>
        <w:tc>
          <w:tcPr>
            <w:tcW w:w="1440" w:type="dxa"/>
            <w:tcBorders>
              <w:top w:val="single" w:sz="4" w:space="0" w:color="auto"/>
              <w:left w:val="single" w:sz="4" w:space="0" w:color="auto"/>
              <w:right w:val="single" w:sz="4" w:space="0" w:color="auto"/>
            </w:tcBorders>
          </w:tcPr>
          <w:p w:rsidR="00A81540" w:rsidRPr="00C340F5" w:rsidRDefault="00A81540" w:rsidP="00C340F5">
            <w:pPr>
              <w:pStyle w:val="NoSpacing"/>
              <w:rPr>
                <w:rFonts w:ascii="Palatino Linotype" w:hAnsi="Palatino Linotype"/>
              </w:rPr>
            </w:pPr>
            <w:r w:rsidRPr="00C340F5">
              <w:rPr>
                <w:rFonts w:ascii="Palatino Linotype" w:hAnsi="Palatino Linotype"/>
              </w:rPr>
              <w:t>Level</w:t>
            </w:r>
          </w:p>
        </w:tc>
        <w:tc>
          <w:tcPr>
            <w:tcW w:w="1530" w:type="dxa"/>
            <w:tcBorders>
              <w:top w:val="single" w:sz="4" w:space="0" w:color="auto"/>
              <w:left w:val="single" w:sz="4" w:space="0" w:color="auto"/>
              <w:right w:val="single" w:sz="4" w:space="0" w:color="auto"/>
            </w:tcBorders>
          </w:tcPr>
          <w:p w:rsidR="00A81540" w:rsidRPr="00C340F5" w:rsidRDefault="00A81540" w:rsidP="00C340F5">
            <w:pPr>
              <w:pStyle w:val="NoSpacing"/>
              <w:rPr>
                <w:rFonts w:ascii="Palatino Linotype" w:hAnsi="Palatino Linotype"/>
              </w:rPr>
            </w:pPr>
            <w:r w:rsidRPr="00C340F5">
              <w:rPr>
                <w:rFonts w:ascii="Palatino Linotype" w:hAnsi="Palatino Linotype"/>
              </w:rPr>
              <w:t>First Diff</w:t>
            </w:r>
          </w:p>
        </w:tc>
        <w:tc>
          <w:tcPr>
            <w:tcW w:w="900" w:type="dxa"/>
            <w:tcBorders>
              <w:top w:val="single" w:sz="4" w:space="0" w:color="auto"/>
              <w:left w:val="single" w:sz="4" w:space="0" w:color="auto"/>
            </w:tcBorders>
          </w:tcPr>
          <w:p w:rsidR="00A81540" w:rsidRPr="00C340F5" w:rsidRDefault="00A81540" w:rsidP="00C340F5">
            <w:pPr>
              <w:pStyle w:val="NoSpacing"/>
              <w:rPr>
                <w:rFonts w:ascii="Palatino Linotype" w:hAnsi="Palatino Linotype"/>
              </w:rPr>
            </w:pPr>
            <w:r w:rsidRPr="00C340F5">
              <w:rPr>
                <w:rFonts w:ascii="Palatino Linotype" w:hAnsi="Palatino Linotype"/>
              </w:rPr>
              <w:t>Order</w:t>
            </w:r>
          </w:p>
        </w:tc>
      </w:tr>
      <w:tr w:rsidR="00A81540" w:rsidRPr="00C340F5" w:rsidTr="00250B7E">
        <w:tc>
          <w:tcPr>
            <w:tcW w:w="1638" w:type="dxa"/>
          </w:tcPr>
          <w:p w:rsidR="00A81540" w:rsidRPr="00C340F5" w:rsidRDefault="00A81540" w:rsidP="00C340F5">
            <w:pPr>
              <w:pStyle w:val="NoSpacing"/>
              <w:rPr>
                <w:rFonts w:ascii="Palatino Linotype" w:hAnsi="Palatino Linotype"/>
              </w:rPr>
            </w:pPr>
            <w:r w:rsidRPr="00C340F5">
              <w:rPr>
                <w:rFonts w:ascii="Palatino Linotype" w:hAnsi="Palatino Linotype"/>
              </w:rPr>
              <w:t>LGDP</w:t>
            </w:r>
          </w:p>
        </w:tc>
        <w:tc>
          <w:tcPr>
            <w:tcW w:w="1530" w:type="dxa"/>
          </w:tcPr>
          <w:p w:rsidR="00A81540" w:rsidRPr="00C340F5" w:rsidRDefault="00A81540" w:rsidP="00C340F5">
            <w:pPr>
              <w:pStyle w:val="NoSpacing"/>
              <w:rPr>
                <w:rFonts w:ascii="Palatino Linotype" w:hAnsi="Palatino Linotype"/>
              </w:rPr>
            </w:pPr>
            <w:r w:rsidRPr="00C340F5">
              <w:rPr>
                <w:rFonts w:ascii="Palatino Linotype" w:hAnsi="Palatino Linotype"/>
              </w:rPr>
              <w:t>-0.82</w:t>
            </w:r>
          </w:p>
        </w:tc>
        <w:tc>
          <w:tcPr>
            <w:tcW w:w="1530" w:type="dxa"/>
          </w:tcPr>
          <w:p w:rsidR="00A81540" w:rsidRPr="00C340F5" w:rsidRDefault="00A81540" w:rsidP="00C340F5">
            <w:pPr>
              <w:pStyle w:val="NoSpacing"/>
              <w:rPr>
                <w:rFonts w:ascii="Palatino Linotype" w:hAnsi="Palatino Linotype"/>
              </w:rPr>
            </w:pPr>
            <w:r w:rsidRPr="00C340F5">
              <w:rPr>
                <w:rFonts w:ascii="Palatino Linotype" w:hAnsi="Palatino Linotype"/>
              </w:rPr>
              <w:t>-3.79</w:t>
            </w:r>
          </w:p>
        </w:tc>
        <w:tc>
          <w:tcPr>
            <w:tcW w:w="900" w:type="dxa"/>
            <w:tcBorders>
              <w:right w:val="single" w:sz="4" w:space="0" w:color="auto"/>
            </w:tcBorders>
          </w:tcPr>
          <w:p w:rsidR="00A81540" w:rsidRPr="00C340F5" w:rsidRDefault="00A81540" w:rsidP="00C340F5">
            <w:pPr>
              <w:pStyle w:val="NoSpacing"/>
              <w:rPr>
                <w:rFonts w:ascii="Palatino Linotype" w:hAnsi="Palatino Linotype"/>
              </w:rPr>
            </w:pPr>
            <w:r w:rsidRPr="00C340F5">
              <w:rPr>
                <w:rFonts w:ascii="Palatino Linotype" w:hAnsi="Palatino Linotype"/>
              </w:rPr>
              <w:t xml:space="preserve"> I(I)</w:t>
            </w:r>
          </w:p>
        </w:tc>
        <w:tc>
          <w:tcPr>
            <w:tcW w:w="1440" w:type="dxa"/>
            <w:tcBorders>
              <w:left w:val="single" w:sz="4" w:space="0" w:color="auto"/>
              <w:right w:val="single" w:sz="4" w:space="0" w:color="auto"/>
            </w:tcBorders>
          </w:tcPr>
          <w:p w:rsidR="00A81540" w:rsidRPr="00C340F5" w:rsidRDefault="00A81540" w:rsidP="00C340F5">
            <w:pPr>
              <w:pStyle w:val="NoSpacing"/>
              <w:rPr>
                <w:rFonts w:ascii="Palatino Linotype" w:hAnsi="Palatino Linotype"/>
              </w:rPr>
            </w:pPr>
            <w:r w:rsidRPr="00C340F5">
              <w:rPr>
                <w:rFonts w:ascii="Palatino Linotype" w:hAnsi="Palatino Linotype"/>
              </w:rPr>
              <w:t>-2.81</w:t>
            </w:r>
          </w:p>
        </w:tc>
        <w:tc>
          <w:tcPr>
            <w:tcW w:w="1530" w:type="dxa"/>
            <w:tcBorders>
              <w:left w:val="single" w:sz="4" w:space="0" w:color="auto"/>
              <w:right w:val="single" w:sz="4" w:space="0" w:color="auto"/>
            </w:tcBorders>
          </w:tcPr>
          <w:p w:rsidR="00A81540" w:rsidRPr="00C340F5" w:rsidRDefault="00A81540" w:rsidP="00C340F5">
            <w:pPr>
              <w:pStyle w:val="NoSpacing"/>
              <w:rPr>
                <w:rFonts w:ascii="Palatino Linotype" w:hAnsi="Palatino Linotype"/>
              </w:rPr>
            </w:pPr>
            <w:r w:rsidRPr="00C340F5">
              <w:rPr>
                <w:rFonts w:ascii="Palatino Linotype" w:hAnsi="Palatino Linotype"/>
              </w:rPr>
              <w:t>-6.28</w:t>
            </w:r>
          </w:p>
        </w:tc>
        <w:tc>
          <w:tcPr>
            <w:tcW w:w="900" w:type="dxa"/>
            <w:tcBorders>
              <w:left w:val="single" w:sz="4" w:space="0" w:color="auto"/>
            </w:tcBorders>
          </w:tcPr>
          <w:p w:rsidR="00A81540" w:rsidRPr="00C340F5" w:rsidRDefault="00A81540" w:rsidP="00C340F5">
            <w:pPr>
              <w:pStyle w:val="NoSpacing"/>
              <w:rPr>
                <w:rFonts w:ascii="Palatino Linotype" w:hAnsi="Palatino Linotype"/>
              </w:rPr>
            </w:pPr>
            <w:r w:rsidRPr="00C340F5">
              <w:rPr>
                <w:rFonts w:ascii="Palatino Linotype" w:hAnsi="Palatino Linotype"/>
              </w:rPr>
              <w:t>I(1)</w:t>
            </w:r>
          </w:p>
        </w:tc>
      </w:tr>
      <w:tr w:rsidR="00A81540" w:rsidRPr="00C340F5" w:rsidTr="00250B7E">
        <w:tc>
          <w:tcPr>
            <w:tcW w:w="1638" w:type="dxa"/>
          </w:tcPr>
          <w:p w:rsidR="00A81540" w:rsidRPr="00C340F5" w:rsidRDefault="00A81540" w:rsidP="00C340F5">
            <w:pPr>
              <w:pStyle w:val="NoSpacing"/>
              <w:rPr>
                <w:rFonts w:ascii="Palatino Linotype" w:hAnsi="Palatino Linotype"/>
              </w:rPr>
            </w:pPr>
            <w:r w:rsidRPr="00C340F5">
              <w:rPr>
                <w:rFonts w:ascii="Palatino Linotype" w:hAnsi="Palatino Linotype"/>
              </w:rPr>
              <w:t>LEXTR</w:t>
            </w:r>
          </w:p>
        </w:tc>
        <w:tc>
          <w:tcPr>
            <w:tcW w:w="1530" w:type="dxa"/>
          </w:tcPr>
          <w:p w:rsidR="00A81540" w:rsidRPr="00C340F5" w:rsidRDefault="00A81540" w:rsidP="00C340F5">
            <w:pPr>
              <w:pStyle w:val="NoSpacing"/>
              <w:rPr>
                <w:rFonts w:ascii="Palatino Linotype" w:hAnsi="Palatino Linotype"/>
              </w:rPr>
            </w:pPr>
            <w:r w:rsidRPr="00C340F5">
              <w:rPr>
                <w:rFonts w:ascii="Palatino Linotype" w:hAnsi="Palatino Linotype"/>
              </w:rPr>
              <w:t>-2.53</w:t>
            </w:r>
          </w:p>
        </w:tc>
        <w:tc>
          <w:tcPr>
            <w:tcW w:w="1530" w:type="dxa"/>
          </w:tcPr>
          <w:p w:rsidR="00A81540" w:rsidRPr="00C340F5" w:rsidRDefault="00A81540" w:rsidP="00C340F5">
            <w:pPr>
              <w:pStyle w:val="NoSpacing"/>
              <w:rPr>
                <w:rFonts w:ascii="Palatino Linotype" w:hAnsi="Palatino Linotype"/>
              </w:rPr>
            </w:pPr>
            <w:r w:rsidRPr="00C340F5">
              <w:rPr>
                <w:rFonts w:ascii="Palatino Linotype" w:hAnsi="Palatino Linotype"/>
              </w:rPr>
              <w:t>-4.71</w:t>
            </w:r>
          </w:p>
        </w:tc>
        <w:tc>
          <w:tcPr>
            <w:tcW w:w="900" w:type="dxa"/>
            <w:tcBorders>
              <w:right w:val="single" w:sz="4" w:space="0" w:color="auto"/>
            </w:tcBorders>
          </w:tcPr>
          <w:p w:rsidR="00A81540" w:rsidRPr="00C340F5" w:rsidRDefault="00A81540" w:rsidP="00C340F5">
            <w:pPr>
              <w:pStyle w:val="NoSpacing"/>
              <w:rPr>
                <w:rFonts w:ascii="Palatino Linotype" w:hAnsi="Palatino Linotype"/>
              </w:rPr>
            </w:pPr>
            <w:r w:rsidRPr="00C340F5">
              <w:rPr>
                <w:rFonts w:ascii="Palatino Linotype" w:hAnsi="Palatino Linotype"/>
              </w:rPr>
              <w:t>I(I)</w:t>
            </w:r>
          </w:p>
        </w:tc>
        <w:tc>
          <w:tcPr>
            <w:tcW w:w="1440" w:type="dxa"/>
            <w:tcBorders>
              <w:left w:val="single" w:sz="4" w:space="0" w:color="auto"/>
              <w:right w:val="single" w:sz="4" w:space="0" w:color="auto"/>
            </w:tcBorders>
          </w:tcPr>
          <w:p w:rsidR="00A81540" w:rsidRPr="00C340F5" w:rsidRDefault="00A81540" w:rsidP="00C340F5">
            <w:pPr>
              <w:pStyle w:val="NoSpacing"/>
              <w:rPr>
                <w:rFonts w:ascii="Palatino Linotype" w:hAnsi="Palatino Linotype"/>
              </w:rPr>
            </w:pPr>
            <w:r w:rsidRPr="00C340F5">
              <w:rPr>
                <w:rFonts w:ascii="Palatino Linotype" w:hAnsi="Palatino Linotype"/>
              </w:rPr>
              <w:t>-2.20</w:t>
            </w:r>
          </w:p>
        </w:tc>
        <w:tc>
          <w:tcPr>
            <w:tcW w:w="1530" w:type="dxa"/>
            <w:tcBorders>
              <w:left w:val="single" w:sz="4" w:space="0" w:color="auto"/>
              <w:right w:val="single" w:sz="4" w:space="0" w:color="auto"/>
            </w:tcBorders>
          </w:tcPr>
          <w:p w:rsidR="00A81540" w:rsidRPr="00C340F5" w:rsidRDefault="00A81540" w:rsidP="00C340F5">
            <w:pPr>
              <w:pStyle w:val="NoSpacing"/>
              <w:rPr>
                <w:rFonts w:ascii="Palatino Linotype" w:hAnsi="Palatino Linotype"/>
              </w:rPr>
            </w:pPr>
            <w:r w:rsidRPr="00C340F5">
              <w:rPr>
                <w:rFonts w:ascii="Palatino Linotype" w:hAnsi="Palatino Linotype"/>
              </w:rPr>
              <w:t>-4.31</w:t>
            </w:r>
          </w:p>
        </w:tc>
        <w:tc>
          <w:tcPr>
            <w:tcW w:w="900" w:type="dxa"/>
            <w:tcBorders>
              <w:left w:val="single" w:sz="4" w:space="0" w:color="auto"/>
            </w:tcBorders>
          </w:tcPr>
          <w:p w:rsidR="00A81540" w:rsidRPr="00C340F5" w:rsidRDefault="00A81540" w:rsidP="00C340F5">
            <w:pPr>
              <w:pStyle w:val="NoSpacing"/>
              <w:rPr>
                <w:rFonts w:ascii="Palatino Linotype" w:hAnsi="Palatino Linotype"/>
              </w:rPr>
            </w:pPr>
            <w:r w:rsidRPr="00C340F5">
              <w:rPr>
                <w:rFonts w:ascii="Palatino Linotype" w:hAnsi="Palatino Linotype"/>
              </w:rPr>
              <w:t>I(1)</w:t>
            </w:r>
          </w:p>
        </w:tc>
      </w:tr>
      <w:tr w:rsidR="00A81540" w:rsidRPr="00C340F5" w:rsidTr="00250B7E">
        <w:tc>
          <w:tcPr>
            <w:tcW w:w="1638" w:type="dxa"/>
          </w:tcPr>
          <w:p w:rsidR="00A81540" w:rsidRPr="00C340F5" w:rsidRDefault="00A81540" w:rsidP="00C340F5">
            <w:pPr>
              <w:pStyle w:val="NoSpacing"/>
              <w:rPr>
                <w:rFonts w:ascii="Palatino Linotype" w:hAnsi="Palatino Linotype"/>
              </w:rPr>
            </w:pPr>
            <w:r w:rsidRPr="00C340F5">
              <w:rPr>
                <w:rFonts w:ascii="Palatino Linotype" w:hAnsi="Palatino Linotype"/>
              </w:rPr>
              <w:t>EXCR</w:t>
            </w:r>
          </w:p>
        </w:tc>
        <w:tc>
          <w:tcPr>
            <w:tcW w:w="1530" w:type="dxa"/>
          </w:tcPr>
          <w:p w:rsidR="00A81540" w:rsidRPr="00C340F5" w:rsidRDefault="00A81540" w:rsidP="00C340F5">
            <w:pPr>
              <w:pStyle w:val="NoSpacing"/>
              <w:rPr>
                <w:rFonts w:ascii="Palatino Linotype" w:hAnsi="Palatino Linotype"/>
              </w:rPr>
            </w:pPr>
            <w:r w:rsidRPr="00C340F5">
              <w:rPr>
                <w:rFonts w:ascii="Palatino Linotype" w:hAnsi="Palatino Linotype"/>
              </w:rPr>
              <w:t>-3.88</w:t>
            </w:r>
          </w:p>
        </w:tc>
        <w:tc>
          <w:tcPr>
            <w:tcW w:w="1530" w:type="dxa"/>
          </w:tcPr>
          <w:p w:rsidR="00A81540" w:rsidRPr="00C340F5" w:rsidRDefault="00A81540" w:rsidP="00C340F5">
            <w:pPr>
              <w:pStyle w:val="NoSpacing"/>
              <w:rPr>
                <w:rFonts w:ascii="Palatino Linotype" w:hAnsi="Palatino Linotype"/>
              </w:rPr>
            </w:pPr>
            <w:r w:rsidRPr="00C340F5">
              <w:rPr>
                <w:rFonts w:ascii="Palatino Linotype" w:hAnsi="Palatino Linotype"/>
              </w:rPr>
              <w:t>-6.13</w:t>
            </w:r>
          </w:p>
        </w:tc>
        <w:tc>
          <w:tcPr>
            <w:tcW w:w="900" w:type="dxa"/>
            <w:tcBorders>
              <w:right w:val="single" w:sz="4" w:space="0" w:color="auto"/>
            </w:tcBorders>
          </w:tcPr>
          <w:p w:rsidR="00A81540" w:rsidRPr="00C340F5" w:rsidRDefault="00A81540" w:rsidP="00C340F5">
            <w:pPr>
              <w:pStyle w:val="NoSpacing"/>
              <w:rPr>
                <w:rFonts w:ascii="Palatino Linotype" w:hAnsi="Palatino Linotype"/>
              </w:rPr>
            </w:pPr>
            <w:r w:rsidRPr="00C340F5">
              <w:rPr>
                <w:rFonts w:ascii="Palatino Linotype" w:hAnsi="Palatino Linotype"/>
              </w:rPr>
              <w:t>I(0)</w:t>
            </w:r>
          </w:p>
        </w:tc>
        <w:tc>
          <w:tcPr>
            <w:tcW w:w="1440" w:type="dxa"/>
            <w:tcBorders>
              <w:left w:val="single" w:sz="4" w:space="0" w:color="auto"/>
              <w:right w:val="single" w:sz="4" w:space="0" w:color="auto"/>
            </w:tcBorders>
          </w:tcPr>
          <w:p w:rsidR="00A81540" w:rsidRPr="00C340F5" w:rsidRDefault="00A81540" w:rsidP="00C340F5">
            <w:pPr>
              <w:pStyle w:val="NoSpacing"/>
              <w:rPr>
                <w:rFonts w:ascii="Palatino Linotype" w:hAnsi="Palatino Linotype"/>
              </w:rPr>
            </w:pPr>
            <w:r w:rsidRPr="00C340F5">
              <w:rPr>
                <w:rFonts w:ascii="Palatino Linotype" w:hAnsi="Palatino Linotype"/>
              </w:rPr>
              <w:t>-4.61</w:t>
            </w:r>
          </w:p>
        </w:tc>
        <w:tc>
          <w:tcPr>
            <w:tcW w:w="1530" w:type="dxa"/>
            <w:tcBorders>
              <w:left w:val="single" w:sz="4" w:space="0" w:color="auto"/>
              <w:right w:val="single" w:sz="4" w:space="0" w:color="auto"/>
            </w:tcBorders>
          </w:tcPr>
          <w:p w:rsidR="00A81540" w:rsidRPr="00C340F5" w:rsidRDefault="00A81540" w:rsidP="00C340F5">
            <w:pPr>
              <w:pStyle w:val="NoSpacing"/>
              <w:rPr>
                <w:rFonts w:ascii="Palatino Linotype" w:hAnsi="Palatino Linotype"/>
              </w:rPr>
            </w:pPr>
            <w:r w:rsidRPr="00C340F5">
              <w:rPr>
                <w:rFonts w:ascii="Palatino Linotype" w:hAnsi="Palatino Linotype"/>
              </w:rPr>
              <w:t>-7.12</w:t>
            </w:r>
          </w:p>
        </w:tc>
        <w:tc>
          <w:tcPr>
            <w:tcW w:w="900" w:type="dxa"/>
            <w:tcBorders>
              <w:left w:val="single" w:sz="4" w:space="0" w:color="auto"/>
            </w:tcBorders>
          </w:tcPr>
          <w:p w:rsidR="00A81540" w:rsidRPr="00C340F5" w:rsidRDefault="00A81540" w:rsidP="00C340F5">
            <w:pPr>
              <w:pStyle w:val="NoSpacing"/>
              <w:rPr>
                <w:rFonts w:ascii="Palatino Linotype" w:hAnsi="Palatino Linotype"/>
              </w:rPr>
            </w:pPr>
            <w:r w:rsidRPr="00C340F5">
              <w:rPr>
                <w:rFonts w:ascii="Palatino Linotype" w:hAnsi="Palatino Linotype"/>
              </w:rPr>
              <w:t>I(0)</w:t>
            </w:r>
          </w:p>
        </w:tc>
      </w:tr>
      <w:tr w:rsidR="00A81540" w:rsidRPr="00C340F5" w:rsidTr="00250B7E">
        <w:tc>
          <w:tcPr>
            <w:tcW w:w="1638" w:type="dxa"/>
          </w:tcPr>
          <w:p w:rsidR="00A81540" w:rsidRPr="00C340F5" w:rsidRDefault="00A81540" w:rsidP="00C340F5">
            <w:pPr>
              <w:pStyle w:val="NoSpacing"/>
              <w:rPr>
                <w:rFonts w:ascii="Palatino Linotype" w:hAnsi="Palatino Linotype"/>
              </w:rPr>
            </w:pPr>
            <w:r w:rsidRPr="00C340F5">
              <w:rPr>
                <w:rFonts w:ascii="Palatino Linotype" w:hAnsi="Palatino Linotype"/>
              </w:rPr>
              <w:t>INFO</w:t>
            </w:r>
          </w:p>
        </w:tc>
        <w:tc>
          <w:tcPr>
            <w:tcW w:w="1530" w:type="dxa"/>
          </w:tcPr>
          <w:p w:rsidR="00A81540" w:rsidRPr="00C340F5" w:rsidRDefault="00A81540" w:rsidP="00C340F5">
            <w:pPr>
              <w:pStyle w:val="NoSpacing"/>
              <w:rPr>
                <w:rFonts w:ascii="Palatino Linotype" w:hAnsi="Palatino Linotype"/>
              </w:rPr>
            </w:pPr>
            <w:r w:rsidRPr="00C340F5">
              <w:rPr>
                <w:rFonts w:ascii="Palatino Linotype" w:hAnsi="Palatino Linotype"/>
              </w:rPr>
              <w:t>-2.13</w:t>
            </w:r>
          </w:p>
        </w:tc>
        <w:tc>
          <w:tcPr>
            <w:tcW w:w="1530" w:type="dxa"/>
          </w:tcPr>
          <w:p w:rsidR="00A81540" w:rsidRPr="00C340F5" w:rsidRDefault="00A81540" w:rsidP="00C340F5">
            <w:pPr>
              <w:pStyle w:val="NoSpacing"/>
              <w:rPr>
                <w:rFonts w:ascii="Palatino Linotype" w:hAnsi="Palatino Linotype"/>
              </w:rPr>
            </w:pPr>
            <w:r w:rsidRPr="00C340F5">
              <w:rPr>
                <w:rFonts w:ascii="Palatino Linotype" w:hAnsi="Palatino Linotype"/>
              </w:rPr>
              <w:t>-4.32</w:t>
            </w:r>
          </w:p>
        </w:tc>
        <w:tc>
          <w:tcPr>
            <w:tcW w:w="900" w:type="dxa"/>
            <w:tcBorders>
              <w:right w:val="single" w:sz="4" w:space="0" w:color="auto"/>
            </w:tcBorders>
          </w:tcPr>
          <w:p w:rsidR="00A81540" w:rsidRPr="00C340F5" w:rsidRDefault="00A81540" w:rsidP="00C340F5">
            <w:pPr>
              <w:pStyle w:val="NoSpacing"/>
              <w:rPr>
                <w:rFonts w:ascii="Palatino Linotype" w:hAnsi="Palatino Linotype"/>
              </w:rPr>
            </w:pPr>
            <w:r w:rsidRPr="00C340F5">
              <w:rPr>
                <w:rFonts w:ascii="Palatino Linotype" w:hAnsi="Palatino Linotype"/>
              </w:rPr>
              <w:t>I(I)</w:t>
            </w:r>
          </w:p>
        </w:tc>
        <w:tc>
          <w:tcPr>
            <w:tcW w:w="1440" w:type="dxa"/>
            <w:tcBorders>
              <w:left w:val="single" w:sz="4" w:space="0" w:color="auto"/>
              <w:right w:val="single" w:sz="4" w:space="0" w:color="auto"/>
            </w:tcBorders>
          </w:tcPr>
          <w:p w:rsidR="00A81540" w:rsidRPr="00C340F5" w:rsidRDefault="00A81540" w:rsidP="00C340F5">
            <w:pPr>
              <w:pStyle w:val="NoSpacing"/>
              <w:rPr>
                <w:rFonts w:ascii="Palatino Linotype" w:hAnsi="Palatino Linotype"/>
              </w:rPr>
            </w:pPr>
            <w:r w:rsidRPr="00C340F5">
              <w:rPr>
                <w:rFonts w:ascii="Palatino Linotype" w:hAnsi="Palatino Linotype"/>
              </w:rPr>
              <w:t>-2.38</w:t>
            </w:r>
          </w:p>
        </w:tc>
        <w:tc>
          <w:tcPr>
            <w:tcW w:w="1530" w:type="dxa"/>
            <w:tcBorders>
              <w:left w:val="single" w:sz="4" w:space="0" w:color="auto"/>
              <w:right w:val="single" w:sz="4" w:space="0" w:color="auto"/>
            </w:tcBorders>
          </w:tcPr>
          <w:p w:rsidR="00A81540" w:rsidRPr="00C340F5" w:rsidRDefault="00A81540" w:rsidP="00C340F5">
            <w:pPr>
              <w:pStyle w:val="NoSpacing"/>
              <w:rPr>
                <w:rFonts w:ascii="Palatino Linotype" w:hAnsi="Palatino Linotype"/>
              </w:rPr>
            </w:pPr>
            <w:r w:rsidRPr="00C340F5">
              <w:rPr>
                <w:rFonts w:ascii="Palatino Linotype" w:hAnsi="Palatino Linotype"/>
              </w:rPr>
              <w:t>-4.50</w:t>
            </w:r>
          </w:p>
        </w:tc>
        <w:tc>
          <w:tcPr>
            <w:tcW w:w="900" w:type="dxa"/>
            <w:tcBorders>
              <w:left w:val="single" w:sz="4" w:space="0" w:color="auto"/>
            </w:tcBorders>
          </w:tcPr>
          <w:p w:rsidR="00A81540" w:rsidRPr="00C340F5" w:rsidRDefault="00A81540" w:rsidP="00C340F5">
            <w:pPr>
              <w:pStyle w:val="NoSpacing"/>
              <w:rPr>
                <w:rFonts w:ascii="Palatino Linotype" w:hAnsi="Palatino Linotype"/>
              </w:rPr>
            </w:pPr>
            <w:r w:rsidRPr="00C340F5">
              <w:rPr>
                <w:rFonts w:ascii="Palatino Linotype" w:hAnsi="Palatino Linotype"/>
              </w:rPr>
              <w:t>I(1)</w:t>
            </w:r>
          </w:p>
        </w:tc>
      </w:tr>
      <w:tr w:rsidR="00A81540" w:rsidRPr="00C340F5" w:rsidTr="00250B7E">
        <w:tc>
          <w:tcPr>
            <w:tcW w:w="1638" w:type="dxa"/>
          </w:tcPr>
          <w:p w:rsidR="00A81540" w:rsidRPr="00C340F5" w:rsidRDefault="00A81540" w:rsidP="00C340F5">
            <w:pPr>
              <w:pStyle w:val="NoSpacing"/>
              <w:rPr>
                <w:rFonts w:ascii="Palatino Linotype" w:hAnsi="Palatino Linotype"/>
              </w:rPr>
            </w:pPr>
            <w:r w:rsidRPr="00C340F5">
              <w:rPr>
                <w:rFonts w:ascii="Palatino Linotype" w:hAnsi="Palatino Linotype"/>
              </w:rPr>
              <w:t>TRDP</w:t>
            </w:r>
          </w:p>
        </w:tc>
        <w:tc>
          <w:tcPr>
            <w:tcW w:w="1530" w:type="dxa"/>
          </w:tcPr>
          <w:p w:rsidR="00A81540" w:rsidRPr="00C340F5" w:rsidRDefault="00A81540" w:rsidP="00C340F5">
            <w:pPr>
              <w:pStyle w:val="NoSpacing"/>
              <w:rPr>
                <w:rFonts w:ascii="Palatino Linotype" w:hAnsi="Palatino Linotype"/>
              </w:rPr>
            </w:pPr>
            <w:r w:rsidRPr="00C340F5">
              <w:rPr>
                <w:rFonts w:ascii="Palatino Linotype" w:hAnsi="Palatino Linotype"/>
              </w:rPr>
              <w:t>-2.51</w:t>
            </w:r>
          </w:p>
        </w:tc>
        <w:tc>
          <w:tcPr>
            <w:tcW w:w="1530" w:type="dxa"/>
          </w:tcPr>
          <w:p w:rsidR="00A81540" w:rsidRPr="00C340F5" w:rsidRDefault="00A81540" w:rsidP="00C340F5">
            <w:pPr>
              <w:pStyle w:val="NoSpacing"/>
              <w:rPr>
                <w:rFonts w:ascii="Palatino Linotype" w:hAnsi="Palatino Linotype"/>
              </w:rPr>
            </w:pPr>
            <w:r w:rsidRPr="00C340F5">
              <w:rPr>
                <w:rFonts w:ascii="Palatino Linotype" w:hAnsi="Palatino Linotype"/>
              </w:rPr>
              <w:t>-4.63</w:t>
            </w:r>
          </w:p>
        </w:tc>
        <w:tc>
          <w:tcPr>
            <w:tcW w:w="900" w:type="dxa"/>
            <w:tcBorders>
              <w:right w:val="single" w:sz="4" w:space="0" w:color="auto"/>
            </w:tcBorders>
          </w:tcPr>
          <w:p w:rsidR="00A81540" w:rsidRPr="00C340F5" w:rsidRDefault="00A81540" w:rsidP="00C340F5">
            <w:pPr>
              <w:pStyle w:val="NoSpacing"/>
              <w:rPr>
                <w:rFonts w:ascii="Palatino Linotype" w:hAnsi="Palatino Linotype"/>
              </w:rPr>
            </w:pPr>
            <w:r w:rsidRPr="00C340F5">
              <w:rPr>
                <w:rFonts w:ascii="Palatino Linotype" w:hAnsi="Palatino Linotype"/>
              </w:rPr>
              <w:t>I(I)</w:t>
            </w:r>
          </w:p>
        </w:tc>
        <w:tc>
          <w:tcPr>
            <w:tcW w:w="1440" w:type="dxa"/>
            <w:tcBorders>
              <w:left w:val="single" w:sz="4" w:space="0" w:color="auto"/>
              <w:right w:val="single" w:sz="4" w:space="0" w:color="auto"/>
            </w:tcBorders>
          </w:tcPr>
          <w:p w:rsidR="00A81540" w:rsidRPr="00C340F5" w:rsidRDefault="00A81540" w:rsidP="00C340F5">
            <w:pPr>
              <w:pStyle w:val="NoSpacing"/>
              <w:rPr>
                <w:rFonts w:ascii="Palatino Linotype" w:hAnsi="Palatino Linotype"/>
              </w:rPr>
            </w:pPr>
            <w:r w:rsidRPr="00C340F5">
              <w:rPr>
                <w:rFonts w:ascii="Palatino Linotype" w:hAnsi="Palatino Linotype"/>
              </w:rPr>
              <w:t>-2.19</w:t>
            </w:r>
          </w:p>
        </w:tc>
        <w:tc>
          <w:tcPr>
            <w:tcW w:w="1530" w:type="dxa"/>
            <w:tcBorders>
              <w:left w:val="single" w:sz="4" w:space="0" w:color="auto"/>
              <w:right w:val="single" w:sz="4" w:space="0" w:color="auto"/>
            </w:tcBorders>
          </w:tcPr>
          <w:p w:rsidR="00A81540" w:rsidRPr="00C340F5" w:rsidRDefault="00A81540" w:rsidP="00C340F5">
            <w:pPr>
              <w:pStyle w:val="NoSpacing"/>
              <w:rPr>
                <w:rFonts w:ascii="Palatino Linotype" w:hAnsi="Palatino Linotype"/>
              </w:rPr>
            </w:pPr>
            <w:r w:rsidRPr="00C340F5">
              <w:rPr>
                <w:rFonts w:ascii="Palatino Linotype" w:hAnsi="Palatino Linotype"/>
              </w:rPr>
              <w:t>-6.18</w:t>
            </w:r>
          </w:p>
        </w:tc>
        <w:tc>
          <w:tcPr>
            <w:tcW w:w="900" w:type="dxa"/>
            <w:tcBorders>
              <w:left w:val="single" w:sz="4" w:space="0" w:color="auto"/>
            </w:tcBorders>
          </w:tcPr>
          <w:p w:rsidR="00A81540" w:rsidRPr="00C340F5" w:rsidRDefault="00A81540" w:rsidP="00C340F5">
            <w:pPr>
              <w:pStyle w:val="NoSpacing"/>
              <w:rPr>
                <w:rFonts w:ascii="Palatino Linotype" w:hAnsi="Palatino Linotype"/>
              </w:rPr>
            </w:pPr>
            <w:r w:rsidRPr="00C340F5">
              <w:rPr>
                <w:rFonts w:ascii="Palatino Linotype" w:hAnsi="Palatino Linotype"/>
              </w:rPr>
              <w:t>I(1)</w:t>
            </w:r>
          </w:p>
        </w:tc>
      </w:tr>
      <w:tr w:rsidR="00A81540" w:rsidRPr="00C340F5" w:rsidTr="00250B7E">
        <w:tc>
          <w:tcPr>
            <w:tcW w:w="1638" w:type="dxa"/>
          </w:tcPr>
          <w:p w:rsidR="00A81540" w:rsidRPr="00C340F5" w:rsidRDefault="00A81540" w:rsidP="00C340F5">
            <w:pPr>
              <w:pStyle w:val="NoSpacing"/>
              <w:rPr>
                <w:rFonts w:ascii="Palatino Linotype" w:hAnsi="Palatino Linotype"/>
              </w:rPr>
            </w:pPr>
            <w:r w:rsidRPr="00C340F5">
              <w:rPr>
                <w:rFonts w:ascii="Palatino Linotype" w:hAnsi="Palatino Linotype"/>
              </w:rPr>
              <w:t>C.V = 5%</w:t>
            </w:r>
          </w:p>
        </w:tc>
        <w:tc>
          <w:tcPr>
            <w:tcW w:w="1530" w:type="dxa"/>
          </w:tcPr>
          <w:p w:rsidR="00A81540" w:rsidRPr="00C340F5" w:rsidRDefault="00A81540" w:rsidP="00C340F5">
            <w:pPr>
              <w:pStyle w:val="NoSpacing"/>
              <w:rPr>
                <w:rFonts w:ascii="Palatino Linotype" w:hAnsi="Palatino Linotype"/>
              </w:rPr>
            </w:pPr>
            <w:r w:rsidRPr="00C340F5">
              <w:rPr>
                <w:rFonts w:ascii="Palatino Linotype" w:hAnsi="Palatino Linotype"/>
              </w:rPr>
              <w:t>-3.55</w:t>
            </w:r>
          </w:p>
        </w:tc>
        <w:tc>
          <w:tcPr>
            <w:tcW w:w="1530" w:type="dxa"/>
          </w:tcPr>
          <w:p w:rsidR="00A81540" w:rsidRPr="00C340F5" w:rsidRDefault="00A81540" w:rsidP="00C340F5">
            <w:pPr>
              <w:pStyle w:val="NoSpacing"/>
              <w:rPr>
                <w:rFonts w:ascii="Palatino Linotype" w:hAnsi="Palatino Linotype"/>
              </w:rPr>
            </w:pPr>
            <w:r w:rsidRPr="00C340F5">
              <w:rPr>
                <w:rFonts w:ascii="Palatino Linotype" w:hAnsi="Palatino Linotype"/>
              </w:rPr>
              <w:t>-3.56</w:t>
            </w:r>
          </w:p>
        </w:tc>
        <w:tc>
          <w:tcPr>
            <w:tcW w:w="900" w:type="dxa"/>
            <w:tcBorders>
              <w:right w:val="single" w:sz="4" w:space="0" w:color="auto"/>
            </w:tcBorders>
          </w:tcPr>
          <w:p w:rsidR="00A81540" w:rsidRPr="00C340F5" w:rsidRDefault="00A81540" w:rsidP="00C340F5">
            <w:pPr>
              <w:pStyle w:val="NoSpacing"/>
              <w:rPr>
                <w:rFonts w:ascii="Palatino Linotype" w:hAnsi="Palatino Linotype"/>
              </w:rPr>
            </w:pPr>
          </w:p>
        </w:tc>
        <w:tc>
          <w:tcPr>
            <w:tcW w:w="1440" w:type="dxa"/>
            <w:tcBorders>
              <w:left w:val="single" w:sz="4" w:space="0" w:color="auto"/>
              <w:right w:val="single" w:sz="4" w:space="0" w:color="auto"/>
            </w:tcBorders>
          </w:tcPr>
          <w:p w:rsidR="00A81540" w:rsidRPr="00C340F5" w:rsidRDefault="00A81540" w:rsidP="00C340F5">
            <w:pPr>
              <w:pStyle w:val="NoSpacing"/>
              <w:rPr>
                <w:rFonts w:ascii="Palatino Linotype" w:hAnsi="Palatino Linotype"/>
              </w:rPr>
            </w:pPr>
            <w:r w:rsidRPr="00C340F5">
              <w:rPr>
                <w:rFonts w:ascii="Palatino Linotype" w:hAnsi="Palatino Linotype"/>
              </w:rPr>
              <w:t>-3.55</w:t>
            </w:r>
          </w:p>
        </w:tc>
        <w:tc>
          <w:tcPr>
            <w:tcW w:w="1530" w:type="dxa"/>
            <w:tcBorders>
              <w:left w:val="single" w:sz="4" w:space="0" w:color="auto"/>
              <w:right w:val="single" w:sz="4" w:space="0" w:color="auto"/>
            </w:tcBorders>
          </w:tcPr>
          <w:p w:rsidR="00A81540" w:rsidRPr="00C340F5" w:rsidRDefault="00A81540" w:rsidP="00C340F5">
            <w:pPr>
              <w:pStyle w:val="NoSpacing"/>
              <w:rPr>
                <w:rFonts w:ascii="Palatino Linotype" w:hAnsi="Palatino Linotype"/>
              </w:rPr>
            </w:pPr>
            <w:r w:rsidRPr="00C340F5">
              <w:rPr>
                <w:rFonts w:ascii="Palatino Linotype" w:hAnsi="Palatino Linotype"/>
              </w:rPr>
              <w:t>-3.56</w:t>
            </w:r>
          </w:p>
        </w:tc>
        <w:tc>
          <w:tcPr>
            <w:tcW w:w="900" w:type="dxa"/>
            <w:tcBorders>
              <w:left w:val="single" w:sz="4" w:space="0" w:color="auto"/>
            </w:tcBorders>
          </w:tcPr>
          <w:p w:rsidR="00A81540" w:rsidRPr="00C340F5" w:rsidRDefault="00A81540" w:rsidP="00C340F5">
            <w:pPr>
              <w:pStyle w:val="NoSpacing"/>
              <w:rPr>
                <w:rFonts w:ascii="Palatino Linotype" w:hAnsi="Palatino Linotype"/>
              </w:rPr>
            </w:pPr>
          </w:p>
        </w:tc>
      </w:tr>
    </w:tbl>
    <w:p w:rsidR="00A81540" w:rsidRPr="00C340F5" w:rsidRDefault="00A81540" w:rsidP="00C340F5">
      <w:pPr>
        <w:spacing w:after="0" w:line="240" w:lineRule="auto"/>
        <w:jc w:val="both"/>
        <w:rPr>
          <w:rFonts w:ascii="Palatino Linotype" w:hAnsi="Palatino Linotype"/>
          <w:bCs/>
          <w:i/>
        </w:rPr>
      </w:pPr>
      <w:r w:rsidRPr="00C340F5">
        <w:rPr>
          <w:rFonts w:ascii="Palatino Linotype" w:hAnsi="Palatino Linotype"/>
          <w:bCs/>
          <w:i/>
        </w:rPr>
        <w:t xml:space="preserve">Source: Authors’ computation using </w:t>
      </w:r>
      <w:proofErr w:type="spellStart"/>
      <w:r w:rsidRPr="00C340F5">
        <w:rPr>
          <w:rFonts w:ascii="Palatino Linotype" w:hAnsi="Palatino Linotype"/>
          <w:bCs/>
          <w:i/>
        </w:rPr>
        <w:t>Eview</w:t>
      </w:r>
      <w:proofErr w:type="spellEnd"/>
      <w:r w:rsidRPr="00C340F5">
        <w:rPr>
          <w:rFonts w:ascii="Palatino Linotype" w:hAnsi="Palatino Linotype"/>
          <w:bCs/>
          <w:i/>
        </w:rPr>
        <w:t xml:space="preserve"> 8.0</w:t>
      </w:r>
    </w:p>
    <w:p w:rsidR="00803EED" w:rsidRDefault="00803EED" w:rsidP="00C340F5">
      <w:pPr>
        <w:spacing w:after="0" w:line="240" w:lineRule="auto"/>
        <w:jc w:val="both"/>
        <w:rPr>
          <w:rFonts w:ascii="Palatino Linotype" w:hAnsi="Palatino Linotype"/>
        </w:rPr>
      </w:pPr>
    </w:p>
    <w:p w:rsidR="00A81540" w:rsidRDefault="00A81540" w:rsidP="00C340F5">
      <w:pPr>
        <w:spacing w:after="0" w:line="240" w:lineRule="auto"/>
        <w:jc w:val="both"/>
        <w:rPr>
          <w:rFonts w:ascii="Palatino Linotype" w:hAnsi="Palatino Linotype"/>
          <w:color w:val="231F20"/>
        </w:rPr>
      </w:pPr>
      <w:r w:rsidRPr="00C340F5">
        <w:rPr>
          <w:rFonts w:ascii="Palatino Linotype" w:hAnsi="Palatino Linotype"/>
        </w:rPr>
        <w:t xml:space="preserve">In </w:t>
      </w:r>
      <w:r w:rsidRPr="00C340F5">
        <w:rPr>
          <w:rFonts w:ascii="Palatino Linotype" w:hAnsi="Palatino Linotype"/>
          <w:color w:val="231F20"/>
        </w:rPr>
        <w:t xml:space="preserve">Table 3, the ARDL model is estimated using lag length 1 as </w:t>
      </w:r>
      <w:r w:rsidRPr="00C340F5">
        <w:rPr>
          <w:rFonts w:ascii="Palatino Linotype" w:hAnsi="Palatino Linotype"/>
        </w:rPr>
        <w:t>suggested by AIC and SBC from the VAR estimation</w:t>
      </w:r>
      <w:r w:rsidRPr="00C340F5">
        <w:rPr>
          <w:rFonts w:ascii="Palatino Linotype" w:hAnsi="Palatino Linotype"/>
          <w:color w:val="231F20"/>
        </w:rPr>
        <w:t xml:space="preserve">. </w:t>
      </w:r>
      <w:r w:rsidRPr="00C340F5">
        <w:rPr>
          <w:rFonts w:ascii="Palatino Linotype" w:hAnsi="Palatino Linotype"/>
          <w:lang w:val="en-GB"/>
        </w:rPr>
        <w:t xml:space="preserve">The robustness of the model was subjected to several diagnostic tests such as the ARCH LM test, serial correlation LM test and model stability test. The tests show that the model passes all the diagnostic tests and is satisfactory. However, </w:t>
      </w:r>
      <w:r w:rsidRPr="00C340F5">
        <w:rPr>
          <w:rFonts w:ascii="Palatino Linotype" w:hAnsi="Palatino Linotype"/>
          <w:color w:val="231F20"/>
        </w:rPr>
        <w:t>the estimation at this level requires no interpretation except for obtaining F-statistic from the bounds co-integration test.</w:t>
      </w:r>
    </w:p>
    <w:p w:rsidR="00803EED" w:rsidRPr="00C340F5" w:rsidRDefault="00803EED" w:rsidP="00C340F5">
      <w:pPr>
        <w:spacing w:after="0" w:line="240" w:lineRule="auto"/>
        <w:jc w:val="both"/>
        <w:rPr>
          <w:rFonts w:ascii="Palatino Linotype" w:hAnsi="Palatino Linotype"/>
        </w:rPr>
      </w:pPr>
    </w:p>
    <w:p w:rsidR="00A81540" w:rsidRPr="00C340F5" w:rsidRDefault="00A81540" w:rsidP="00C340F5">
      <w:pPr>
        <w:pStyle w:val="BodyText"/>
        <w:rPr>
          <w:rFonts w:ascii="Palatino Linotype" w:eastAsia="Calibri" w:hAnsi="Palatino Linotype"/>
          <w:b/>
          <w:color w:val="231F20"/>
          <w:sz w:val="22"/>
          <w:szCs w:val="22"/>
        </w:rPr>
      </w:pPr>
      <w:r w:rsidRPr="00C340F5">
        <w:rPr>
          <w:rFonts w:ascii="Palatino Linotype" w:eastAsia="Calibri" w:hAnsi="Palatino Linotype"/>
          <w:b/>
          <w:color w:val="231F20"/>
          <w:sz w:val="22"/>
          <w:szCs w:val="22"/>
        </w:rPr>
        <w:t>Table 3: ARDL model of estimation</w:t>
      </w:r>
    </w:p>
    <w:p w:rsidR="00A81540" w:rsidRPr="00C340F5" w:rsidRDefault="00A81540" w:rsidP="00C340F5">
      <w:pPr>
        <w:pStyle w:val="BodyText"/>
        <w:rPr>
          <w:rFonts w:ascii="Palatino Linotype" w:eastAsia="Calibri" w:hAnsi="Palatino Linotype"/>
          <w:b/>
          <w:color w:val="231F20"/>
          <w:sz w:val="22"/>
          <w:szCs w:val="22"/>
        </w:rPr>
      </w:pPr>
      <w:r w:rsidRPr="00C340F5">
        <w:rPr>
          <w:rFonts w:ascii="Palatino Linotype" w:eastAsia="Calibri" w:hAnsi="Palatino Linotype"/>
          <w:b/>
          <w:color w:val="231F20"/>
          <w:sz w:val="22"/>
          <w:szCs w:val="22"/>
        </w:rPr>
        <w:t>Dependent variable: DLGDP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2"/>
        <w:gridCol w:w="1572"/>
        <w:gridCol w:w="1264"/>
        <w:gridCol w:w="1260"/>
        <w:gridCol w:w="1296"/>
      </w:tblGrid>
      <w:tr w:rsidR="00A81540" w:rsidRPr="00C340F5" w:rsidTr="00250B7E">
        <w:tc>
          <w:tcPr>
            <w:tcW w:w="2222" w:type="dxa"/>
          </w:tcPr>
          <w:p w:rsidR="00A81540" w:rsidRPr="00C340F5" w:rsidRDefault="00A81540" w:rsidP="00C340F5">
            <w:pPr>
              <w:pStyle w:val="NoSpacing"/>
              <w:rPr>
                <w:rFonts w:ascii="Palatino Linotype" w:hAnsi="Palatino Linotype"/>
              </w:rPr>
            </w:pPr>
            <w:r w:rsidRPr="00C340F5">
              <w:rPr>
                <w:rFonts w:ascii="Palatino Linotype" w:hAnsi="Palatino Linotype"/>
              </w:rPr>
              <w:t>Variable</w:t>
            </w:r>
          </w:p>
        </w:tc>
        <w:tc>
          <w:tcPr>
            <w:tcW w:w="1572" w:type="dxa"/>
          </w:tcPr>
          <w:p w:rsidR="00A81540" w:rsidRPr="00C340F5" w:rsidRDefault="00A81540" w:rsidP="00C340F5">
            <w:pPr>
              <w:pStyle w:val="NoSpacing"/>
              <w:rPr>
                <w:rFonts w:ascii="Palatino Linotype" w:hAnsi="Palatino Linotype"/>
              </w:rPr>
            </w:pPr>
            <w:r w:rsidRPr="00C340F5">
              <w:rPr>
                <w:rFonts w:ascii="Palatino Linotype" w:hAnsi="Palatino Linotype"/>
              </w:rPr>
              <w:t>Coefficient</w:t>
            </w:r>
          </w:p>
        </w:tc>
        <w:tc>
          <w:tcPr>
            <w:tcW w:w="1264" w:type="dxa"/>
          </w:tcPr>
          <w:p w:rsidR="00A81540" w:rsidRPr="00C340F5" w:rsidRDefault="00A81540" w:rsidP="00C340F5">
            <w:pPr>
              <w:pStyle w:val="NoSpacing"/>
              <w:rPr>
                <w:rFonts w:ascii="Palatino Linotype" w:hAnsi="Palatino Linotype"/>
              </w:rPr>
            </w:pPr>
            <w:proofErr w:type="spellStart"/>
            <w:r w:rsidRPr="00C340F5">
              <w:rPr>
                <w:rFonts w:ascii="Palatino Linotype" w:hAnsi="Palatino Linotype"/>
              </w:rPr>
              <w:t>Std</w:t>
            </w:r>
            <w:proofErr w:type="spellEnd"/>
            <w:r w:rsidRPr="00C340F5">
              <w:rPr>
                <w:rFonts w:ascii="Palatino Linotype" w:hAnsi="Palatino Linotype"/>
              </w:rPr>
              <w:t xml:space="preserve"> error</w:t>
            </w:r>
          </w:p>
        </w:tc>
        <w:tc>
          <w:tcPr>
            <w:tcW w:w="1260" w:type="dxa"/>
          </w:tcPr>
          <w:p w:rsidR="00A81540" w:rsidRPr="00C340F5" w:rsidRDefault="00A81540" w:rsidP="00C340F5">
            <w:pPr>
              <w:pStyle w:val="NoSpacing"/>
              <w:rPr>
                <w:rFonts w:ascii="Palatino Linotype" w:hAnsi="Palatino Linotype"/>
              </w:rPr>
            </w:pPr>
            <w:r w:rsidRPr="00C340F5">
              <w:rPr>
                <w:rFonts w:ascii="Palatino Linotype" w:hAnsi="Palatino Linotype"/>
              </w:rPr>
              <w:t xml:space="preserve"> t-statistic</w:t>
            </w:r>
          </w:p>
        </w:tc>
        <w:tc>
          <w:tcPr>
            <w:tcW w:w="1283" w:type="dxa"/>
          </w:tcPr>
          <w:p w:rsidR="00A81540" w:rsidRPr="00C340F5" w:rsidRDefault="00A81540" w:rsidP="00C340F5">
            <w:pPr>
              <w:pStyle w:val="NoSpacing"/>
              <w:rPr>
                <w:rFonts w:ascii="Palatino Linotype" w:hAnsi="Palatino Linotype"/>
              </w:rPr>
            </w:pPr>
            <w:r w:rsidRPr="00C340F5">
              <w:rPr>
                <w:rFonts w:ascii="Palatino Linotype" w:hAnsi="Palatino Linotype"/>
              </w:rPr>
              <w:t>Probability</w:t>
            </w:r>
          </w:p>
        </w:tc>
      </w:tr>
      <w:tr w:rsidR="00A81540" w:rsidRPr="00C340F5" w:rsidTr="00250B7E">
        <w:tc>
          <w:tcPr>
            <w:tcW w:w="2222" w:type="dxa"/>
          </w:tcPr>
          <w:p w:rsidR="00A81540" w:rsidRPr="00C340F5" w:rsidRDefault="00A81540" w:rsidP="00C340F5">
            <w:pPr>
              <w:pStyle w:val="NoSpacing"/>
              <w:rPr>
                <w:rFonts w:ascii="Palatino Linotype" w:hAnsi="Palatino Linotype"/>
              </w:rPr>
            </w:pPr>
            <w:r w:rsidRPr="00C340F5">
              <w:rPr>
                <w:rFonts w:ascii="Palatino Linotype" w:hAnsi="Palatino Linotype"/>
              </w:rPr>
              <w:t>Constant</w:t>
            </w:r>
          </w:p>
        </w:tc>
        <w:tc>
          <w:tcPr>
            <w:tcW w:w="1572" w:type="dxa"/>
          </w:tcPr>
          <w:p w:rsidR="00A81540" w:rsidRPr="00C340F5" w:rsidRDefault="00A81540" w:rsidP="00C340F5">
            <w:pPr>
              <w:pStyle w:val="NoSpacing"/>
              <w:rPr>
                <w:rFonts w:ascii="Palatino Linotype" w:hAnsi="Palatino Linotype"/>
              </w:rPr>
            </w:pPr>
            <w:r w:rsidRPr="00C340F5">
              <w:rPr>
                <w:rFonts w:ascii="Palatino Linotype" w:hAnsi="Palatino Linotype"/>
              </w:rPr>
              <w:t xml:space="preserve">  0.13</w:t>
            </w:r>
          </w:p>
        </w:tc>
        <w:tc>
          <w:tcPr>
            <w:tcW w:w="1264" w:type="dxa"/>
          </w:tcPr>
          <w:p w:rsidR="00A81540" w:rsidRPr="00C340F5" w:rsidRDefault="00A81540" w:rsidP="00C340F5">
            <w:pPr>
              <w:pStyle w:val="NoSpacing"/>
              <w:rPr>
                <w:rFonts w:ascii="Palatino Linotype" w:hAnsi="Palatino Linotype"/>
              </w:rPr>
            </w:pPr>
            <w:r w:rsidRPr="00C340F5">
              <w:rPr>
                <w:rFonts w:ascii="Palatino Linotype" w:hAnsi="Palatino Linotype"/>
              </w:rPr>
              <w:t>0.04</w:t>
            </w:r>
          </w:p>
        </w:tc>
        <w:tc>
          <w:tcPr>
            <w:tcW w:w="1260" w:type="dxa"/>
          </w:tcPr>
          <w:p w:rsidR="00A81540" w:rsidRPr="00C340F5" w:rsidRDefault="00A81540" w:rsidP="00C340F5">
            <w:pPr>
              <w:pStyle w:val="NoSpacing"/>
              <w:rPr>
                <w:rFonts w:ascii="Palatino Linotype" w:hAnsi="Palatino Linotype"/>
              </w:rPr>
            </w:pPr>
            <w:r w:rsidRPr="00C340F5">
              <w:rPr>
                <w:rFonts w:ascii="Palatino Linotype" w:hAnsi="Palatino Linotype"/>
              </w:rPr>
              <w:t xml:space="preserve">  3.25</w:t>
            </w:r>
          </w:p>
        </w:tc>
        <w:tc>
          <w:tcPr>
            <w:tcW w:w="1283" w:type="dxa"/>
          </w:tcPr>
          <w:p w:rsidR="00A81540" w:rsidRPr="00C340F5" w:rsidRDefault="00A81540" w:rsidP="00C340F5">
            <w:pPr>
              <w:pStyle w:val="NoSpacing"/>
              <w:rPr>
                <w:rFonts w:ascii="Palatino Linotype" w:hAnsi="Palatino Linotype"/>
              </w:rPr>
            </w:pPr>
            <w:r w:rsidRPr="00C340F5">
              <w:rPr>
                <w:rFonts w:ascii="Palatino Linotype" w:hAnsi="Palatino Linotype"/>
              </w:rPr>
              <w:t>0.00</w:t>
            </w:r>
          </w:p>
        </w:tc>
      </w:tr>
      <w:tr w:rsidR="00A81540" w:rsidRPr="00C340F5" w:rsidTr="00250B7E">
        <w:tc>
          <w:tcPr>
            <w:tcW w:w="2222" w:type="dxa"/>
          </w:tcPr>
          <w:p w:rsidR="00A81540" w:rsidRPr="00C340F5" w:rsidRDefault="00A81540" w:rsidP="00C340F5">
            <w:pPr>
              <w:pStyle w:val="NoSpacing"/>
              <w:rPr>
                <w:rFonts w:ascii="Palatino Linotype" w:hAnsi="Palatino Linotype"/>
              </w:rPr>
            </w:pPr>
            <w:r w:rsidRPr="00C340F5">
              <w:rPr>
                <w:rFonts w:ascii="Palatino Linotype" w:hAnsi="Palatino Linotype"/>
                <w:lang w:val="en-GB"/>
              </w:rPr>
              <w:t>∆</w:t>
            </w:r>
            <w:r w:rsidRPr="00C340F5">
              <w:rPr>
                <w:rFonts w:ascii="Palatino Linotype" w:hAnsi="Palatino Linotype"/>
              </w:rPr>
              <w:t>LGDP(-1)</w:t>
            </w:r>
          </w:p>
        </w:tc>
        <w:tc>
          <w:tcPr>
            <w:tcW w:w="1572" w:type="dxa"/>
          </w:tcPr>
          <w:p w:rsidR="00A81540" w:rsidRPr="00C340F5" w:rsidRDefault="00A81540" w:rsidP="00C340F5">
            <w:pPr>
              <w:pStyle w:val="NoSpacing"/>
              <w:rPr>
                <w:rFonts w:ascii="Palatino Linotype" w:hAnsi="Palatino Linotype"/>
              </w:rPr>
            </w:pPr>
            <w:r w:rsidRPr="00C340F5">
              <w:rPr>
                <w:rFonts w:ascii="Palatino Linotype" w:hAnsi="Palatino Linotype"/>
              </w:rPr>
              <w:t xml:space="preserve">  0.10</w:t>
            </w:r>
          </w:p>
        </w:tc>
        <w:tc>
          <w:tcPr>
            <w:tcW w:w="1264" w:type="dxa"/>
          </w:tcPr>
          <w:p w:rsidR="00A81540" w:rsidRPr="00C340F5" w:rsidRDefault="00A81540" w:rsidP="00C340F5">
            <w:pPr>
              <w:pStyle w:val="NoSpacing"/>
              <w:rPr>
                <w:rFonts w:ascii="Palatino Linotype" w:hAnsi="Palatino Linotype"/>
              </w:rPr>
            </w:pPr>
            <w:r w:rsidRPr="00C340F5">
              <w:rPr>
                <w:rFonts w:ascii="Palatino Linotype" w:hAnsi="Palatino Linotype"/>
              </w:rPr>
              <w:t>0.32</w:t>
            </w:r>
          </w:p>
        </w:tc>
        <w:tc>
          <w:tcPr>
            <w:tcW w:w="1260" w:type="dxa"/>
          </w:tcPr>
          <w:p w:rsidR="00A81540" w:rsidRPr="00C340F5" w:rsidRDefault="00A81540" w:rsidP="00C340F5">
            <w:pPr>
              <w:pStyle w:val="NoSpacing"/>
              <w:rPr>
                <w:rFonts w:ascii="Palatino Linotype" w:hAnsi="Palatino Linotype"/>
              </w:rPr>
            </w:pPr>
            <w:r w:rsidRPr="00C340F5">
              <w:rPr>
                <w:rFonts w:ascii="Palatino Linotype" w:hAnsi="Palatino Linotype"/>
              </w:rPr>
              <w:t xml:space="preserve">  1.67</w:t>
            </w:r>
          </w:p>
        </w:tc>
        <w:tc>
          <w:tcPr>
            <w:tcW w:w="1283" w:type="dxa"/>
          </w:tcPr>
          <w:p w:rsidR="00A81540" w:rsidRPr="00C340F5" w:rsidRDefault="00A81540" w:rsidP="00C340F5">
            <w:pPr>
              <w:pStyle w:val="NoSpacing"/>
              <w:rPr>
                <w:rFonts w:ascii="Palatino Linotype" w:hAnsi="Palatino Linotype"/>
              </w:rPr>
            </w:pPr>
            <w:r w:rsidRPr="00C340F5">
              <w:rPr>
                <w:rFonts w:ascii="Palatino Linotype" w:hAnsi="Palatino Linotype"/>
              </w:rPr>
              <w:t>0.07</w:t>
            </w:r>
          </w:p>
        </w:tc>
      </w:tr>
      <w:tr w:rsidR="00A81540" w:rsidRPr="00C340F5" w:rsidTr="00250B7E">
        <w:trPr>
          <w:trHeight w:val="323"/>
        </w:trPr>
        <w:tc>
          <w:tcPr>
            <w:tcW w:w="2222" w:type="dxa"/>
            <w:tcBorders>
              <w:bottom w:val="single" w:sz="4" w:space="0" w:color="auto"/>
            </w:tcBorders>
          </w:tcPr>
          <w:p w:rsidR="00A81540" w:rsidRPr="00C340F5" w:rsidRDefault="00A81540" w:rsidP="00C340F5">
            <w:pPr>
              <w:pStyle w:val="NoSpacing"/>
              <w:rPr>
                <w:rFonts w:ascii="Palatino Linotype" w:hAnsi="Palatino Linotype"/>
              </w:rPr>
            </w:pPr>
            <w:r w:rsidRPr="00C340F5">
              <w:rPr>
                <w:rFonts w:ascii="Palatino Linotype" w:hAnsi="Palatino Linotype"/>
                <w:lang w:val="en-GB"/>
              </w:rPr>
              <w:t>∆</w:t>
            </w:r>
            <w:r w:rsidRPr="00C340F5">
              <w:rPr>
                <w:rFonts w:ascii="Palatino Linotype" w:hAnsi="Palatino Linotype"/>
              </w:rPr>
              <w:t>LEXTR(-1)</w:t>
            </w:r>
          </w:p>
        </w:tc>
        <w:tc>
          <w:tcPr>
            <w:tcW w:w="1572" w:type="dxa"/>
            <w:tcBorders>
              <w:bottom w:val="single" w:sz="4" w:space="0" w:color="auto"/>
            </w:tcBorders>
          </w:tcPr>
          <w:p w:rsidR="00A81540" w:rsidRPr="00C340F5" w:rsidRDefault="00A81540" w:rsidP="00C340F5">
            <w:pPr>
              <w:pStyle w:val="NoSpacing"/>
              <w:rPr>
                <w:rFonts w:ascii="Palatino Linotype" w:hAnsi="Palatino Linotype"/>
              </w:rPr>
            </w:pPr>
            <w:r w:rsidRPr="00C340F5">
              <w:rPr>
                <w:rFonts w:ascii="Palatino Linotype" w:hAnsi="Palatino Linotype"/>
              </w:rPr>
              <w:t xml:space="preserve">  0.72</w:t>
            </w:r>
          </w:p>
        </w:tc>
        <w:tc>
          <w:tcPr>
            <w:tcW w:w="1264" w:type="dxa"/>
            <w:tcBorders>
              <w:bottom w:val="single" w:sz="4" w:space="0" w:color="auto"/>
            </w:tcBorders>
          </w:tcPr>
          <w:p w:rsidR="00A81540" w:rsidRPr="00C340F5" w:rsidRDefault="00A81540" w:rsidP="00C340F5">
            <w:pPr>
              <w:pStyle w:val="NoSpacing"/>
              <w:rPr>
                <w:rFonts w:ascii="Palatino Linotype" w:hAnsi="Palatino Linotype"/>
              </w:rPr>
            </w:pPr>
            <w:r w:rsidRPr="00C340F5">
              <w:rPr>
                <w:rFonts w:ascii="Palatino Linotype" w:hAnsi="Palatino Linotype"/>
              </w:rPr>
              <w:t>0.26</w:t>
            </w:r>
          </w:p>
        </w:tc>
        <w:tc>
          <w:tcPr>
            <w:tcW w:w="1260" w:type="dxa"/>
            <w:tcBorders>
              <w:bottom w:val="single" w:sz="4" w:space="0" w:color="auto"/>
            </w:tcBorders>
          </w:tcPr>
          <w:p w:rsidR="00A81540" w:rsidRPr="00C340F5" w:rsidRDefault="00A81540" w:rsidP="00C340F5">
            <w:pPr>
              <w:pStyle w:val="NoSpacing"/>
              <w:rPr>
                <w:rFonts w:ascii="Palatino Linotype" w:hAnsi="Palatino Linotype"/>
              </w:rPr>
            </w:pPr>
            <w:r w:rsidRPr="00C340F5">
              <w:rPr>
                <w:rFonts w:ascii="Palatino Linotype" w:hAnsi="Palatino Linotype"/>
              </w:rPr>
              <w:t xml:space="preserve">  2.77</w:t>
            </w:r>
          </w:p>
        </w:tc>
        <w:tc>
          <w:tcPr>
            <w:tcW w:w="1283" w:type="dxa"/>
            <w:tcBorders>
              <w:bottom w:val="single" w:sz="4" w:space="0" w:color="auto"/>
            </w:tcBorders>
          </w:tcPr>
          <w:p w:rsidR="00A81540" w:rsidRPr="00C340F5" w:rsidRDefault="00A81540" w:rsidP="00C340F5">
            <w:pPr>
              <w:pStyle w:val="NoSpacing"/>
              <w:rPr>
                <w:rFonts w:ascii="Palatino Linotype" w:hAnsi="Palatino Linotype"/>
              </w:rPr>
            </w:pPr>
            <w:r w:rsidRPr="00C340F5">
              <w:rPr>
                <w:rFonts w:ascii="Palatino Linotype" w:hAnsi="Palatino Linotype"/>
              </w:rPr>
              <w:t>0.02</w:t>
            </w:r>
          </w:p>
        </w:tc>
      </w:tr>
      <w:tr w:rsidR="00A81540" w:rsidRPr="00C340F5" w:rsidTr="00250B7E">
        <w:trPr>
          <w:trHeight w:val="177"/>
        </w:trPr>
        <w:tc>
          <w:tcPr>
            <w:tcW w:w="2222" w:type="dxa"/>
            <w:tcBorders>
              <w:top w:val="single" w:sz="4" w:space="0" w:color="auto"/>
            </w:tcBorders>
          </w:tcPr>
          <w:p w:rsidR="00A81540" w:rsidRPr="00C340F5" w:rsidRDefault="00A81540" w:rsidP="00C340F5">
            <w:pPr>
              <w:pStyle w:val="NoSpacing"/>
              <w:rPr>
                <w:rFonts w:ascii="Palatino Linotype" w:hAnsi="Palatino Linotype"/>
              </w:rPr>
            </w:pPr>
            <w:r w:rsidRPr="00C340F5">
              <w:rPr>
                <w:rFonts w:ascii="Palatino Linotype" w:hAnsi="Palatino Linotype"/>
                <w:lang w:val="en-GB"/>
              </w:rPr>
              <w:t>∆</w:t>
            </w:r>
            <w:r w:rsidRPr="00C340F5">
              <w:rPr>
                <w:rFonts w:ascii="Palatino Linotype" w:hAnsi="Palatino Linotype"/>
              </w:rPr>
              <w:t>LEXCR(-1)</w:t>
            </w:r>
          </w:p>
        </w:tc>
        <w:tc>
          <w:tcPr>
            <w:tcW w:w="1572" w:type="dxa"/>
            <w:tcBorders>
              <w:top w:val="single" w:sz="4" w:space="0" w:color="auto"/>
            </w:tcBorders>
          </w:tcPr>
          <w:p w:rsidR="00A81540" w:rsidRPr="00C340F5" w:rsidRDefault="00A81540" w:rsidP="00C340F5">
            <w:pPr>
              <w:pStyle w:val="NoSpacing"/>
              <w:rPr>
                <w:rFonts w:ascii="Palatino Linotype" w:hAnsi="Palatino Linotype"/>
              </w:rPr>
            </w:pPr>
            <w:r w:rsidRPr="00C340F5">
              <w:rPr>
                <w:rFonts w:ascii="Palatino Linotype" w:hAnsi="Palatino Linotype"/>
              </w:rPr>
              <w:t xml:space="preserve"> -0.63</w:t>
            </w:r>
          </w:p>
        </w:tc>
        <w:tc>
          <w:tcPr>
            <w:tcW w:w="1264" w:type="dxa"/>
            <w:tcBorders>
              <w:top w:val="single" w:sz="4" w:space="0" w:color="auto"/>
            </w:tcBorders>
          </w:tcPr>
          <w:p w:rsidR="00A81540" w:rsidRPr="00C340F5" w:rsidRDefault="00A81540" w:rsidP="00C340F5">
            <w:pPr>
              <w:pStyle w:val="NoSpacing"/>
              <w:rPr>
                <w:rFonts w:ascii="Palatino Linotype" w:hAnsi="Palatino Linotype"/>
              </w:rPr>
            </w:pPr>
            <w:r w:rsidRPr="00C340F5">
              <w:rPr>
                <w:rFonts w:ascii="Palatino Linotype" w:hAnsi="Palatino Linotype"/>
              </w:rPr>
              <w:t>0.31</w:t>
            </w:r>
          </w:p>
        </w:tc>
        <w:tc>
          <w:tcPr>
            <w:tcW w:w="1260" w:type="dxa"/>
            <w:tcBorders>
              <w:top w:val="single" w:sz="4" w:space="0" w:color="auto"/>
            </w:tcBorders>
          </w:tcPr>
          <w:p w:rsidR="00A81540" w:rsidRPr="00C340F5" w:rsidRDefault="00A81540" w:rsidP="00C340F5">
            <w:pPr>
              <w:pStyle w:val="NoSpacing"/>
              <w:rPr>
                <w:rFonts w:ascii="Palatino Linotype" w:hAnsi="Palatino Linotype"/>
              </w:rPr>
            </w:pPr>
            <w:r w:rsidRPr="00C340F5">
              <w:rPr>
                <w:rFonts w:ascii="Palatino Linotype" w:hAnsi="Palatino Linotype"/>
              </w:rPr>
              <w:t xml:space="preserve"> -2.03</w:t>
            </w:r>
          </w:p>
        </w:tc>
        <w:tc>
          <w:tcPr>
            <w:tcW w:w="1283" w:type="dxa"/>
            <w:tcBorders>
              <w:top w:val="single" w:sz="4" w:space="0" w:color="auto"/>
            </w:tcBorders>
          </w:tcPr>
          <w:p w:rsidR="00A81540" w:rsidRPr="00C340F5" w:rsidRDefault="00A81540" w:rsidP="00C340F5">
            <w:pPr>
              <w:pStyle w:val="NoSpacing"/>
              <w:rPr>
                <w:rFonts w:ascii="Palatino Linotype" w:hAnsi="Palatino Linotype"/>
              </w:rPr>
            </w:pPr>
            <w:r w:rsidRPr="00C340F5">
              <w:rPr>
                <w:rFonts w:ascii="Palatino Linotype" w:hAnsi="Palatino Linotype"/>
              </w:rPr>
              <w:t>0.06</w:t>
            </w:r>
          </w:p>
        </w:tc>
      </w:tr>
      <w:tr w:rsidR="00A81540" w:rsidRPr="00C340F5" w:rsidTr="00250B7E">
        <w:tc>
          <w:tcPr>
            <w:tcW w:w="2222" w:type="dxa"/>
          </w:tcPr>
          <w:p w:rsidR="00A81540" w:rsidRPr="00C340F5" w:rsidRDefault="00A81540" w:rsidP="00C340F5">
            <w:pPr>
              <w:pStyle w:val="NoSpacing"/>
              <w:rPr>
                <w:rFonts w:ascii="Palatino Linotype" w:hAnsi="Palatino Linotype"/>
              </w:rPr>
            </w:pPr>
            <w:r w:rsidRPr="00C340F5">
              <w:rPr>
                <w:rFonts w:ascii="Palatino Linotype" w:hAnsi="Palatino Linotype"/>
                <w:lang w:val="en-GB"/>
              </w:rPr>
              <w:t>∆</w:t>
            </w:r>
            <w:r w:rsidRPr="00C340F5">
              <w:rPr>
                <w:rFonts w:ascii="Palatino Linotype" w:hAnsi="Palatino Linotype"/>
              </w:rPr>
              <w:t>LINFR(-1)</w:t>
            </w:r>
          </w:p>
        </w:tc>
        <w:tc>
          <w:tcPr>
            <w:tcW w:w="1572" w:type="dxa"/>
          </w:tcPr>
          <w:p w:rsidR="00A81540" w:rsidRPr="00C340F5" w:rsidRDefault="00A81540" w:rsidP="00C340F5">
            <w:pPr>
              <w:pStyle w:val="NoSpacing"/>
              <w:rPr>
                <w:rFonts w:ascii="Palatino Linotype" w:hAnsi="Palatino Linotype"/>
              </w:rPr>
            </w:pPr>
            <w:r w:rsidRPr="00C340F5">
              <w:rPr>
                <w:rFonts w:ascii="Palatino Linotype" w:hAnsi="Palatino Linotype"/>
              </w:rPr>
              <w:t xml:space="preserve">  1.07</w:t>
            </w:r>
          </w:p>
        </w:tc>
        <w:tc>
          <w:tcPr>
            <w:tcW w:w="1264" w:type="dxa"/>
          </w:tcPr>
          <w:p w:rsidR="00A81540" w:rsidRPr="00C340F5" w:rsidRDefault="00A81540" w:rsidP="00C340F5">
            <w:pPr>
              <w:pStyle w:val="NoSpacing"/>
              <w:rPr>
                <w:rFonts w:ascii="Palatino Linotype" w:hAnsi="Palatino Linotype"/>
              </w:rPr>
            </w:pPr>
            <w:r w:rsidRPr="00C340F5">
              <w:rPr>
                <w:rFonts w:ascii="Palatino Linotype" w:hAnsi="Palatino Linotype"/>
              </w:rPr>
              <w:t>3.78</w:t>
            </w:r>
          </w:p>
        </w:tc>
        <w:tc>
          <w:tcPr>
            <w:tcW w:w="1260" w:type="dxa"/>
          </w:tcPr>
          <w:p w:rsidR="00A81540" w:rsidRPr="00C340F5" w:rsidRDefault="00A81540" w:rsidP="00C340F5">
            <w:pPr>
              <w:pStyle w:val="NoSpacing"/>
              <w:rPr>
                <w:rFonts w:ascii="Palatino Linotype" w:hAnsi="Palatino Linotype"/>
              </w:rPr>
            </w:pPr>
            <w:r w:rsidRPr="00C340F5">
              <w:rPr>
                <w:rFonts w:ascii="Palatino Linotype" w:hAnsi="Palatino Linotype"/>
              </w:rPr>
              <w:t xml:space="preserve">  0.28</w:t>
            </w:r>
          </w:p>
        </w:tc>
        <w:tc>
          <w:tcPr>
            <w:tcW w:w="1283" w:type="dxa"/>
          </w:tcPr>
          <w:p w:rsidR="00A81540" w:rsidRPr="00C340F5" w:rsidRDefault="00A81540" w:rsidP="00C340F5">
            <w:pPr>
              <w:pStyle w:val="NoSpacing"/>
              <w:rPr>
                <w:rFonts w:ascii="Palatino Linotype" w:hAnsi="Palatino Linotype"/>
              </w:rPr>
            </w:pPr>
            <w:r w:rsidRPr="00C340F5">
              <w:rPr>
                <w:rFonts w:ascii="Palatino Linotype" w:hAnsi="Palatino Linotype"/>
              </w:rPr>
              <w:t>0.86</w:t>
            </w:r>
          </w:p>
        </w:tc>
      </w:tr>
      <w:tr w:rsidR="00A81540" w:rsidRPr="00C340F5" w:rsidTr="00250B7E">
        <w:tc>
          <w:tcPr>
            <w:tcW w:w="2222" w:type="dxa"/>
          </w:tcPr>
          <w:p w:rsidR="00A81540" w:rsidRPr="00C340F5" w:rsidRDefault="00A81540" w:rsidP="00C340F5">
            <w:pPr>
              <w:pStyle w:val="NoSpacing"/>
              <w:rPr>
                <w:rFonts w:ascii="Palatino Linotype" w:hAnsi="Palatino Linotype"/>
              </w:rPr>
            </w:pPr>
            <w:r w:rsidRPr="00C340F5">
              <w:rPr>
                <w:rFonts w:ascii="Palatino Linotype" w:hAnsi="Palatino Linotype"/>
                <w:lang w:val="en-GB"/>
              </w:rPr>
              <w:t>∆</w:t>
            </w:r>
            <w:r w:rsidRPr="00C340F5">
              <w:rPr>
                <w:rFonts w:ascii="Palatino Linotype" w:hAnsi="Palatino Linotype"/>
              </w:rPr>
              <w:t>LTRDP(-1)</w:t>
            </w:r>
          </w:p>
        </w:tc>
        <w:tc>
          <w:tcPr>
            <w:tcW w:w="1572" w:type="dxa"/>
          </w:tcPr>
          <w:p w:rsidR="00A81540" w:rsidRPr="00C340F5" w:rsidRDefault="00A81540" w:rsidP="00C340F5">
            <w:pPr>
              <w:pStyle w:val="NoSpacing"/>
              <w:rPr>
                <w:rFonts w:ascii="Palatino Linotype" w:hAnsi="Palatino Linotype"/>
              </w:rPr>
            </w:pPr>
            <w:r w:rsidRPr="00C340F5">
              <w:rPr>
                <w:rFonts w:ascii="Palatino Linotype" w:hAnsi="Palatino Linotype"/>
              </w:rPr>
              <w:t>-0.91</w:t>
            </w:r>
          </w:p>
        </w:tc>
        <w:tc>
          <w:tcPr>
            <w:tcW w:w="1264" w:type="dxa"/>
          </w:tcPr>
          <w:p w:rsidR="00A81540" w:rsidRPr="00C340F5" w:rsidRDefault="00A81540" w:rsidP="00C340F5">
            <w:pPr>
              <w:pStyle w:val="NoSpacing"/>
              <w:rPr>
                <w:rFonts w:ascii="Palatino Linotype" w:hAnsi="Palatino Linotype"/>
              </w:rPr>
            </w:pPr>
            <w:r w:rsidRPr="00C340F5">
              <w:rPr>
                <w:rFonts w:ascii="Palatino Linotype" w:hAnsi="Palatino Linotype"/>
              </w:rPr>
              <w:t>1.38</w:t>
            </w:r>
          </w:p>
        </w:tc>
        <w:tc>
          <w:tcPr>
            <w:tcW w:w="1260" w:type="dxa"/>
          </w:tcPr>
          <w:p w:rsidR="00A81540" w:rsidRPr="00C340F5" w:rsidRDefault="00A81540" w:rsidP="00C340F5">
            <w:pPr>
              <w:pStyle w:val="NoSpacing"/>
              <w:rPr>
                <w:rFonts w:ascii="Palatino Linotype" w:hAnsi="Palatino Linotype"/>
              </w:rPr>
            </w:pPr>
            <w:r w:rsidRPr="00C340F5">
              <w:rPr>
                <w:rFonts w:ascii="Palatino Linotype" w:hAnsi="Palatino Linotype"/>
              </w:rPr>
              <w:t xml:space="preserve"> -0.69</w:t>
            </w:r>
          </w:p>
        </w:tc>
        <w:tc>
          <w:tcPr>
            <w:tcW w:w="1283" w:type="dxa"/>
          </w:tcPr>
          <w:p w:rsidR="00A81540" w:rsidRPr="00C340F5" w:rsidRDefault="00A81540" w:rsidP="00C340F5">
            <w:pPr>
              <w:pStyle w:val="NoSpacing"/>
              <w:rPr>
                <w:rFonts w:ascii="Palatino Linotype" w:hAnsi="Palatino Linotype"/>
              </w:rPr>
            </w:pPr>
            <w:r w:rsidRPr="00C340F5">
              <w:rPr>
                <w:rFonts w:ascii="Palatino Linotype" w:hAnsi="Palatino Linotype"/>
              </w:rPr>
              <w:t>0.67</w:t>
            </w:r>
          </w:p>
        </w:tc>
      </w:tr>
      <w:tr w:rsidR="00A81540" w:rsidRPr="00C340F5" w:rsidTr="00250B7E">
        <w:tc>
          <w:tcPr>
            <w:tcW w:w="2222" w:type="dxa"/>
            <w:tcBorders>
              <w:top w:val="single" w:sz="4" w:space="0" w:color="auto"/>
            </w:tcBorders>
          </w:tcPr>
          <w:p w:rsidR="00A81540" w:rsidRPr="00C340F5" w:rsidRDefault="00A81540" w:rsidP="00C340F5">
            <w:pPr>
              <w:pStyle w:val="NoSpacing"/>
              <w:rPr>
                <w:rFonts w:ascii="Palatino Linotype" w:hAnsi="Palatino Linotype"/>
              </w:rPr>
            </w:pPr>
            <w:r w:rsidRPr="00C340F5">
              <w:rPr>
                <w:rFonts w:ascii="Palatino Linotype" w:hAnsi="Palatino Linotype"/>
              </w:rPr>
              <w:t>LGDP(-1)</w:t>
            </w:r>
          </w:p>
        </w:tc>
        <w:tc>
          <w:tcPr>
            <w:tcW w:w="1572" w:type="dxa"/>
          </w:tcPr>
          <w:p w:rsidR="00A81540" w:rsidRPr="00C340F5" w:rsidRDefault="00A81540" w:rsidP="00C340F5">
            <w:pPr>
              <w:pStyle w:val="NoSpacing"/>
              <w:rPr>
                <w:rFonts w:ascii="Palatino Linotype" w:hAnsi="Palatino Linotype"/>
              </w:rPr>
            </w:pPr>
            <w:r w:rsidRPr="00C340F5">
              <w:rPr>
                <w:rFonts w:ascii="Palatino Linotype" w:hAnsi="Palatino Linotype"/>
              </w:rPr>
              <w:t xml:space="preserve">  0.09</w:t>
            </w:r>
          </w:p>
        </w:tc>
        <w:tc>
          <w:tcPr>
            <w:tcW w:w="1264" w:type="dxa"/>
          </w:tcPr>
          <w:p w:rsidR="00A81540" w:rsidRPr="00C340F5" w:rsidRDefault="00A81540" w:rsidP="00C340F5">
            <w:pPr>
              <w:pStyle w:val="NoSpacing"/>
              <w:rPr>
                <w:rFonts w:ascii="Palatino Linotype" w:hAnsi="Palatino Linotype"/>
              </w:rPr>
            </w:pPr>
            <w:r w:rsidRPr="00C340F5">
              <w:rPr>
                <w:rFonts w:ascii="Palatino Linotype" w:hAnsi="Palatino Linotype"/>
              </w:rPr>
              <w:t>0.03</w:t>
            </w:r>
          </w:p>
        </w:tc>
        <w:tc>
          <w:tcPr>
            <w:tcW w:w="1260" w:type="dxa"/>
          </w:tcPr>
          <w:p w:rsidR="00A81540" w:rsidRPr="00C340F5" w:rsidRDefault="00A81540" w:rsidP="00C340F5">
            <w:pPr>
              <w:pStyle w:val="NoSpacing"/>
              <w:rPr>
                <w:rFonts w:ascii="Palatino Linotype" w:hAnsi="Palatino Linotype"/>
              </w:rPr>
            </w:pPr>
            <w:r w:rsidRPr="00C340F5">
              <w:rPr>
                <w:rFonts w:ascii="Palatino Linotype" w:hAnsi="Palatino Linotype"/>
              </w:rPr>
              <w:t xml:space="preserve">  3.00</w:t>
            </w:r>
          </w:p>
        </w:tc>
        <w:tc>
          <w:tcPr>
            <w:tcW w:w="1283" w:type="dxa"/>
          </w:tcPr>
          <w:p w:rsidR="00A81540" w:rsidRPr="00C340F5" w:rsidRDefault="00A81540" w:rsidP="00C340F5">
            <w:pPr>
              <w:pStyle w:val="NoSpacing"/>
              <w:rPr>
                <w:rFonts w:ascii="Palatino Linotype" w:hAnsi="Palatino Linotype"/>
              </w:rPr>
            </w:pPr>
            <w:r w:rsidRPr="00C340F5">
              <w:rPr>
                <w:rFonts w:ascii="Palatino Linotype" w:hAnsi="Palatino Linotype"/>
              </w:rPr>
              <w:t>0.00</w:t>
            </w:r>
          </w:p>
        </w:tc>
      </w:tr>
      <w:tr w:rsidR="00A81540" w:rsidRPr="00C340F5" w:rsidTr="00250B7E">
        <w:tc>
          <w:tcPr>
            <w:tcW w:w="2222" w:type="dxa"/>
          </w:tcPr>
          <w:p w:rsidR="00A81540" w:rsidRPr="00C340F5" w:rsidRDefault="00A81540" w:rsidP="00C340F5">
            <w:pPr>
              <w:pStyle w:val="NoSpacing"/>
              <w:rPr>
                <w:rFonts w:ascii="Palatino Linotype" w:hAnsi="Palatino Linotype"/>
              </w:rPr>
            </w:pPr>
            <w:r w:rsidRPr="00C340F5">
              <w:rPr>
                <w:rFonts w:ascii="Palatino Linotype" w:hAnsi="Palatino Linotype"/>
              </w:rPr>
              <w:t>LEXTR(-1)</w:t>
            </w:r>
          </w:p>
        </w:tc>
        <w:tc>
          <w:tcPr>
            <w:tcW w:w="1572" w:type="dxa"/>
          </w:tcPr>
          <w:p w:rsidR="00A81540" w:rsidRPr="00C340F5" w:rsidRDefault="00A81540" w:rsidP="00C340F5">
            <w:pPr>
              <w:pStyle w:val="NoSpacing"/>
              <w:rPr>
                <w:rFonts w:ascii="Palatino Linotype" w:hAnsi="Palatino Linotype"/>
              </w:rPr>
            </w:pPr>
            <w:r w:rsidRPr="00C340F5">
              <w:rPr>
                <w:rFonts w:ascii="Palatino Linotype" w:hAnsi="Palatino Linotype"/>
              </w:rPr>
              <w:t xml:space="preserve">  0.85</w:t>
            </w:r>
          </w:p>
        </w:tc>
        <w:tc>
          <w:tcPr>
            <w:tcW w:w="1264" w:type="dxa"/>
          </w:tcPr>
          <w:p w:rsidR="00A81540" w:rsidRPr="00C340F5" w:rsidRDefault="00A81540" w:rsidP="00C340F5">
            <w:pPr>
              <w:pStyle w:val="NoSpacing"/>
              <w:rPr>
                <w:rFonts w:ascii="Palatino Linotype" w:hAnsi="Palatino Linotype"/>
              </w:rPr>
            </w:pPr>
            <w:r w:rsidRPr="00C340F5">
              <w:rPr>
                <w:rFonts w:ascii="Palatino Linotype" w:hAnsi="Palatino Linotype"/>
              </w:rPr>
              <w:t>0.25</w:t>
            </w:r>
          </w:p>
        </w:tc>
        <w:tc>
          <w:tcPr>
            <w:tcW w:w="1260" w:type="dxa"/>
          </w:tcPr>
          <w:p w:rsidR="00A81540" w:rsidRPr="00C340F5" w:rsidRDefault="00A81540" w:rsidP="00C340F5">
            <w:pPr>
              <w:pStyle w:val="NoSpacing"/>
              <w:rPr>
                <w:rFonts w:ascii="Palatino Linotype" w:hAnsi="Palatino Linotype"/>
              </w:rPr>
            </w:pPr>
            <w:r w:rsidRPr="00C340F5">
              <w:rPr>
                <w:rFonts w:ascii="Palatino Linotype" w:hAnsi="Palatino Linotype"/>
              </w:rPr>
              <w:t xml:space="preserve">  3.40</w:t>
            </w:r>
          </w:p>
        </w:tc>
        <w:tc>
          <w:tcPr>
            <w:tcW w:w="1283" w:type="dxa"/>
          </w:tcPr>
          <w:p w:rsidR="00A81540" w:rsidRPr="00C340F5" w:rsidRDefault="00A81540" w:rsidP="00C340F5">
            <w:pPr>
              <w:pStyle w:val="NoSpacing"/>
              <w:rPr>
                <w:rFonts w:ascii="Palatino Linotype" w:hAnsi="Palatino Linotype"/>
              </w:rPr>
            </w:pPr>
            <w:r w:rsidRPr="00C340F5">
              <w:rPr>
                <w:rFonts w:ascii="Palatino Linotype" w:hAnsi="Palatino Linotype"/>
              </w:rPr>
              <w:t>0.00</w:t>
            </w:r>
          </w:p>
        </w:tc>
      </w:tr>
      <w:tr w:rsidR="00A81540" w:rsidRPr="00C340F5" w:rsidTr="00250B7E">
        <w:tc>
          <w:tcPr>
            <w:tcW w:w="2222" w:type="dxa"/>
          </w:tcPr>
          <w:p w:rsidR="00A81540" w:rsidRPr="00C340F5" w:rsidRDefault="00A81540" w:rsidP="00C340F5">
            <w:pPr>
              <w:pStyle w:val="NoSpacing"/>
              <w:rPr>
                <w:rFonts w:ascii="Palatino Linotype" w:hAnsi="Palatino Linotype"/>
              </w:rPr>
            </w:pPr>
            <w:r w:rsidRPr="00C340F5">
              <w:rPr>
                <w:rFonts w:ascii="Palatino Linotype" w:hAnsi="Palatino Linotype"/>
              </w:rPr>
              <w:t>LEXCR(-1)</w:t>
            </w:r>
          </w:p>
        </w:tc>
        <w:tc>
          <w:tcPr>
            <w:tcW w:w="1572" w:type="dxa"/>
          </w:tcPr>
          <w:p w:rsidR="00A81540" w:rsidRPr="00C340F5" w:rsidRDefault="00A81540" w:rsidP="00C340F5">
            <w:pPr>
              <w:pStyle w:val="NoSpacing"/>
              <w:rPr>
                <w:rFonts w:ascii="Palatino Linotype" w:hAnsi="Palatino Linotype"/>
              </w:rPr>
            </w:pPr>
            <w:r w:rsidRPr="00C340F5">
              <w:rPr>
                <w:rFonts w:ascii="Palatino Linotype" w:hAnsi="Palatino Linotype"/>
              </w:rPr>
              <w:t>1.81</w:t>
            </w:r>
          </w:p>
        </w:tc>
        <w:tc>
          <w:tcPr>
            <w:tcW w:w="1264" w:type="dxa"/>
          </w:tcPr>
          <w:p w:rsidR="00A81540" w:rsidRPr="00C340F5" w:rsidRDefault="00A81540" w:rsidP="00C340F5">
            <w:pPr>
              <w:pStyle w:val="NoSpacing"/>
              <w:rPr>
                <w:rFonts w:ascii="Palatino Linotype" w:hAnsi="Palatino Linotype"/>
              </w:rPr>
            </w:pPr>
            <w:r w:rsidRPr="00C340F5">
              <w:rPr>
                <w:rFonts w:ascii="Palatino Linotype" w:hAnsi="Palatino Linotype"/>
              </w:rPr>
              <w:t>2.68</w:t>
            </w:r>
          </w:p>
        </w:tc>
        <w:tc>
          <w:tcPr>
            <w:tcW w:w="1260" w:type="dxa"/>
          </w:tcPr>
          <w:p w:rsidR="00A81540" w:rsidRPr="00C340F5" w:rsidRDefault="00A81540" w:rsidP="00C340F5">
            <w:pPr>
              <w:pStyle w:val="NoSpacing"/>
              <w:rPr>
                <w:rFonts w:ascii="Palatino Linotype" w:hAnsi="Palatino Linotype"/>
              </w:rPr>
            </w:pPr>
            <w:r w:rsidRPr="00C340F5">
              <w:rPr>
                <w:rFonts w:ascii="Palatino Linotype" w:hAnsi="Palatino Linotype"/>
              </w:rPr>
              <w:t xml:space="preserve">  0.68</w:t>
            </w:r>
          </w:p>
        </w:tc>
        <w:tc>
          <w:tcPr>
            <w:tcW w:w="1283" w:type="dxa"/>
          </w:tcPr>
          <w:p w:rsidR="00A81540" w:rsidRPr="00C340F5" w:rsidRDefault="00A81540" w:rsidP="00C340F5">
            <w:pPr>
              <w:pStyle w:val="NoSpacing"/>
              <w:rPr>
                <w:rFonts w:ascii="Palatino Linotype" w:hAnsi="Palatino Linotype"/>
              </w:rPr>
            </w:pPr>
            <w:r w:rsidRPr="00C340F5">
              <w:rPr>
                <w:rFonts w:ascii="Palatino Linotype" w:hAnsi="Palatino Linotype"/>
              </w:rPr>
              <w:t>0.58</w:t>
            </w:r>
          </w:p>
        </w:tc>
      </w:tr>
      <w:tr w:rsidR="00A81540" w:rsidRPr="00C340F5" w:rsidTr="00250B7E">
        <w:tc>
          <w:tcPr>
            <w:tcW w:w="2222" w:type="dxa"/>
          </w:tcPr>
          <w:p w:rsidR="00A81540" w:rsidRPr="00C340F5" w:rsidRDefault="00A81540" w:rsidP="00C340F5">
            <w:pPr>
              <w:pStyle w:val="NoSpacing"/>
              <w:rPr>
                <w:rFonts w:ascii="Palatino Linotype" w:hAnsi="Palatino Linotype"/>
              </w:rPr>
            </w:pPr>
            <w:r w:rsidRPr="00C340F5">
              <w:rPr>
                <w:rFonts w:ascii="Palatino Linotype" w:hAnsi="Palatino Linotype"/>
              </w:rPr>
              <w:t>LINFR(-1)</w:t>
            </w:r>
          </w:p>
        </w:tc>
        <w:tc>
          <w:tcPr>
            <w:tcW w:w="1572" w:type="dxa"/>
          </w:tcPr>
          <w:p w:rsidR="00A81540" w:rsidRPr="00C340F5" w:rsidRDefault="00A81540" w:rsidP="00C340F5">
            <w:pPr>
              <w:pStyle w:val="NoSpacing"/>
              <w:rPr>
                <w:rFonts w:ascii="Palatino Linotype" w:hAnsi="Palatino Linotype"/>
              </w:rPr>
            </w:pPr>
            <w:r w:rsidRPr="00C340F5">
              <w:rPr>
                <w:rFonts w:ascii="Palatino Linotype" w:hAnsi="Palatino Linotype"/>
              </w:rPr>
              <w:t xml:space="preserve">  0.32</w:t>
            </w:r>
          </w:p>
        </w:tc>
        <w:tc>
          <w:tcPr>
            <w:tcW w:w="1264" w:type="dxa"/>
          </w:tcPr>
          <w:p w:rsidR="00A81540" w:rsidRPr="00C340F5" w:rsidRDefault="00A81540" w:rsidP="00C340F5">
            <w:pPr>
              <w:pStyle w:val="NoSpacing"/>
              <w:rPr>
                <w:rFonts w:ascii="Palatino Linotype" w:hAnsi="Palatino Linotype"/>
              </w:rPr>
            </w:pPr>
            <w:r w:rsidRPr="00C340F5">
              <w:rPr>
                <w:rFonts w:ascii="Palatino Linotype" w:hAnsi="Palatino Linotype"/>
              </w:rPr>
              <w:t>0.26</w:t>
            </w:r>
          </w:p>
        </w:tc>
        <w:tc>
          <w:tcPr>
            <w:tcW w:w="1260" w:type="dxa"/>
          </w:tcPr>
          <w:p w:rsidR="00A81540" w:rsidRPr="00C340F5" w:rsidRDefault="00A81540" w:rsidP="00C340F5">
            <w:pPr>
              <w:pStyle w:val="NoSpacing"/>
              <w:rPr>
                <w:rFonts w:ascii="Palatino Linotype" w:hAnsi="Palatino Linotype"/>
              </w:rPr>
            </w:pPr>
            <w:r w:rsidRPr="00C340F5">
              <w:rPr>
                <w:rFonts w:ascii="Palatino Linotype" w:hAnsi="Palatino Linotype"/>
              </w:rPr>
              <w:t xml:space="preserve">  1.23</w:t>
            </w:r>
          </w:p>
        </w:tc>
        <w:tc>
          <w:tcPr>
            <w:tcW w:w="1283" w:type="dxa"/>
          </w:tcPr>
          <w:p w:rsidR="00A81540" w:rsidRPr="00C340F5" w:rsidRDefault="00A81540" w:rsidP="00C340F5">
            <w:pPr>
              <w:pStyle w:val="NoSpacing"/>
              <w:rPr>
                <w:rFonts w:ascii="Palatino Linotype" w:hAnsi="Palatino Linotype"/>
              </w:rPr>
            </w:pPr>
            <w:r w:rsidRPr="00C340F5">
              <w:rPr>
                <w:rFonts w:ascii="Palatino Linotype" w:hAnsi="Palatino Linotype"/>
              </w:rPr>
              <w:t>0.54</w:t>
            </w:r>
          </w:p>
        </w:tc>
      </w:tr>
      <w:tr w:rsidR="00A81540" w:rsidRPr="00C340F5" w:rsidTr="00250B7E">
        <w:tc>
          <w:tcPr>
            <w:tcW w:w="2222" w:type="dxa"/>
          </w:tcPr>
          <w:p w:rsidR="00A81540" w:rsidRPr="00C340F5" w:rsidRDefault="00A81540" w:rsidP="00C340F5">
            <w:pPr>
              <w:pStyle w:val="NoSpacing"/>
              <w:rPr>
                <w:rFonts w:ascii="Palatino Linotype" w:hAnsi="Palatino Linotype"/>
              </w:rPr>
            </w:pPr>
            <w:r w:rsidRPr="00C340F5">
              <w:rPr>
                <w:rFonts w:ascii="Palatino Linotype" w:hAnsi="Palatino Linotype"/>
              </w:rPr>
              <w:t>LTRDP(-1)</w:t>
            </w:r>
          </w:p>
        </w:tc>
        <w:tc>
          <w:tcPr>
            <w:tcW w:w="1572" w:type="dxa"/>
          </w:tcPr>
          <w:p w:rsidR="00A81540" w:rsidRPr="00C340F5" w:rsidRDefault="00A81540" w:rsidP="00C340F5">
            <w:pPr>
              <w:pStyle w:val="NoSpacing"/>
              <w:rPr>
                <w:rFonts w:ascii="Palatino Linotype" w:hAnsi="Palatino Linotype"/>
              </w:rPr>
            </w:pPr>
            <w:r w:rsidRPr="00C340F5">
              <w:rPr>
                <w:rFonts w:ascii="Palatino Linotype" w:hAnsi="Palatino Linotype"/>
              </w:rPr>
              <w:t>-0.14</w:t>
            </w:r>
          </w:p>
        </w:tc>
        <w:tc>
          <w:tcPr>
            <w:tcW w:w="1264" w:type="dxa"/>
          </w:tcPr>
          <w:p w:rsidR="00A81540" w:rsidRPr="00C340F5" w:rsidRDefault="00A81540" w:rsidP="00C340F5">
            <w:pPr>
              <w:pStyle w:val="NoSpacing"/>
              <w:rPr>
                <w:rFonts w:ascii="Palatino Linotype" w:hAnsi="Palatino Linotype"/>
              </w:rPr>
            </w:pPr>
            <w:r w:rsidRPr="00C340F5">
              <w:rPr>
                <w:rFonts w:ascii="Palatino Linotype" w:hAnsi="Palatino Linotype"/>
              </w:rPr>
              <w:t>0.05</w:t>
            </w:r>
          </w:p>
        </w:tc>
        <w:tc>
          <w:tcPr>
            <w:tcW w:w="1260" w:type="dxa"/>
          </w:tcPr>
          <w:p w:rsidR="00A81540" w:rsidRPr="00C340F5" w:rsidRDefault="00A81540" w:rsidP="00C340F5">
            <w:pPr>
              <w:pStyle w:val="NoSpacing"/>
              <w:rPr>
                <w:rFonts w:ascii="Palatino Linotype" w:hAnsi="Palatino Linotype"/>
              </w:rPr>
            </w:pPr>
            <w:r w:rsidRPr="00C340F5">
              <w:rPr>
                <w:rFonts w:ascii="Palatino Linotype" w:hAnsi="Palatino Linotype"/>
              </w:rPr>
              <w:t>-2.80</w:t>
            </w:r>
          </w:p>
        </w:tc>
        <w:tc>
          <w:tcPr>
            <w:tcW w:w="1283" w:type="dxa"/>
          </w:tcPr>
          <w:p w:rsidR="00A81540" w:rsidRPr="00C340F5" w:rsidRDefault="00A81540" w:rsidP="00C340F5">
            <w:pPr>
              <w:pStyle w:val="NoSpacing"/>
              <w:rPr>
                <w:rFonts w:ascii="Palatino Linotype" w:hAnsi="Palatino Linotype"/>
              </w:rPr>
            </w:pPr>
            <w:r w:rsidRPr="00C340F5">
              <w:rPr>
                <w:rFonts w:ascii="Palatino Linotype" w:hAnsi="Palatino Linotype"/>
              </w:rPr>
              <w:t>0.01</w:t>
            </w:r>
          </w:p>
        </w:tc>
      </w:tr>
      <w:tr w:rsidR="00A81540" w:rsidRPr="00C340F5" w:rsidTr="00250B7E">
        <w:trPr>
          <w:trHeight w:val="277"/>
        </w:trPr>
        <w:tc>
          <w:tcPr>
            <w:tcW w:w="7601" w:type="dxa"/>
            <w:gridSpan w:val="5"/>
            <w:tcBorders>
              <w:bottom w:val="single" w:sz="4" w:space="0" w:color="auto"/>
            </w:tcBorders>
          </w:tcPr>
          <w:p w:rsidR="00A81540" w:rsidRPr="00C340F5" w:rsidRDefault="00A81540" w:rsidP="00C340F5">
            <w:pPr>
              <w:pStyle w:val="NoSpacing"/>
              <w:rPr>
                <w:rFonts w:ascii="Palatino Linotype" w:hAnsi="Palatino Linotype"/>
              </w:rPr>
            </w:pPr>
            <w:r w:rsidRPr="00C340F5">
              <w:rPr>
                <w:rFonts w:ascii="Palatino Linotype" w:hAnsi="Palatino Linotype"/>
              </w:rPr>
              <w:t xml:space="preserve">                                             Diagnostic Test</w:t>
            </w:r>
          </w:p>
        </w:tc>
      </w:tr>
      <w:tr w:rsidR="00A81540" w:rsidRPr="00C340F5" w:rsidTr="00250B7E">
        <w:trPr>
          <w:trHeight w:val="353"/>
        </w:trPr>
        <w:tc>
          <w:tcPr>
            <w:tcW w:w="3794" w:type="dxa"/>
            <w:gridSpan w:val="2"/>
            <w:tcBorders>
              <w:top w:val="single" w:sz="4" w:space="0" w:color="auto"/>
              <w:bottom w:val="single" w:sz="4" w:space="0" w:color="auto"/>
              <w:right w:val="single" w:sz="4" w:space="0" w:color="auto"/>
            </w:tcBorders>
          </w:tcPr>
          <w:p w:rsidR="00A81540" w:rsidRPr="00C340F5" w:rsidRDefault="00A81540" w:rsidP="00C340F5">
            <w:pPr>
              <w:pStyle w:val="NoSpacing"/>
              <w:rPr>
                <w:rFonts w:ascii="Palatino Linotype" w:hAnsi="Palatino Linotype"/>
              </w:rPr>
            </w:pPr>
            <w:r w:rsidRPr="00C340F5">
              <w:rPr>
                <w:rFonts w:ascii="Palatino Linotype" w:hAnsi="Palatino Linotype"/>
              </w:rPr>
              <w:t>R</w:t>
            </w:r>
            <w:r w:rsidRPr="00C340F5">
              <w:rPr>
                <w:rFonts w:ascii="Palatino Linotype" w:hAnsi="Palatino Linotype"/>
                <w:vertAlign w:val="superscript"/>
              </w:rPr>
              <w:t>2</w:t>
            </w:r>
          </w:p>
        </w:tc>
        <w:tc>
          <w:tcPr>
            <w:tcW w:w="3807" w:type="dxa"/>
            <w:gridSpan w:val="3"/>
            <w:tcBorders>
              <w:top w:val="single" w:sz="4" w:space="0" w:color="auto"/>
              <w:left w:val="single" w:sz="4" w:space="0" w:color="auto"/>
              <w:bottom w:val="single" w:sz="4" w:space="0" w:color="auto"/>
            </w:tcBorders>
          </w:tcPr>
          <w:p w:rsidR="00A81540" w:rsidRPr="00C340F5" w:rsidRDefault="00A81540" w:rsidP="00C340F5">
            <w:pPr>
              <w:pStyle w:val="NoSpacing"/>
              <w:rPr>
                <w:rFonts w:ascii="Palatino Linotype" w:hAnsi="Palatino Linotype"/>
              </w:rPr>
            </w:pPr>
            <w:r w:rsidRPr="00C340F5">
              <w:rPr>
                <w:rFonts w:ascii="Palatino Linotype" w:hAnsi="Palatino Linotype"/>
              </w:rPr>
              <w:t>0.79</w:t>
            </w:r>
          </w:p>
        </w:tc>
      </w:tr>
      <w:tr w:rsidR="00A81540" w:rsidRPr="00C340F5" w:rsidTr="00250B7E">
        <w:trPr>
          <w:trHeight w:val="182"/>
        </w:trPr>
        <w:tc>
          <w:tcPr>
            <w:tcW w:w="3794" w:type="dxa"/>
            <w:gridSpan w:val="2"/>
            <w:tcBorders>
              <w:top w:val="single" w:sz="4" w:space="0" w:color="auto"/>
              <w:bottom w:val="single" w:sz="4" w:space="0" w:color="auto"/>
              <w:right w:val="single" w:sz="4" w:space="0" w:color="auto"/>
            </w:tcBorders>
          </w:tcPr>
          <w:p w:rsidR="00A81540" w:rsidRPr="00C340F5" w:rsidRDefault="00A81540" w:rsidP="00C340F5">
            <w:pPr>
              <w:pStyle w:val="NoSpacing"/>
              <w:rPr>
                <w:rFonts w:ascii="Palatino Linotype" w:hAnsi="Palatino Linotype"/>
              </w:rPr>
            </w:pPr>
            <w:r w:rsidRPr="00C340F5">
              <w:rPr>
                <w:rFonts w:ascii="Palatino Linotype" w:hAnsi="Palatino Linotype"/>
              </w:rPr>
              <w:lastRenderedPageBreak/>
              <w:t xml:space="preserve">DW </w:t>
            </w:r>
          </w:p>
        </w:tc>
        <w:tc>
          <w:tcPr>
            <w:tcW w:w="3807" w:type="dxa"/>
            <w:gridSpan w:val="3"/>
            <w:tcBorders>
              <w:top w:val="single" w:sz="4" w:space="0" w:color="auto"/>
              <w:left w:val="single" w:sz="4" w:space="0" w:color="auto"/>
              <w:bottom w:val="single" w:sz="4" w:space="0" w:color="auto"/>
            </w:tcBorders>
          </w:tcPr>
          <w:p w:rsidR="00A81540" w:rsidRPr="00C340F5" w:rsidRDefault="00A81540" w:rsidP="00C340F5">
            <w:pPr>
              <w:pStyle w:val="NoSpacing"/>
              <w:rPr>
                <w:rFonts w:ascii="Palatino Linotype" w:hAnsi="Palatino Linotype"/>
              </w:rPr>
            </w:pPr>
            <w:r w:rsidRPr="00C340F5">
              <w:rPr>
                <w:rFonts w:ascii="Palatino Linotype" w:hAnsi="Palatino Linotype"/>
              </w:rPr>
              <w:t>2.0</w:t>
            </w:r>
          </w:p>
        </w:tc>
      </w:tr>
      <w:tr w:rsidR="00A81540" w:rsidRPr="00C340F5" w:rsidTr="00250B7E">
        <w:trPr>
          <w:trHeight w:val="190"/>
        </w:trPr>
        <w:tc>
          <w:tcPr>
            <w:tcW w:w="3794" w:type="dxa"/>
            <w:gridSpan w:val="2"/>
            <w:tcBorders>
              <w:top w:val="single" w:sz="4" w:space="0" w:color="auto"/>
              <w:right w:val="single" w:sz="4" w:space="0" w:color="auto"/>
            </w:tcBorders>
          </w:tcPr>
          <w:p w:rsidR="00A81540" w:rsidRPr="00C340F5" w:rsidRDefault="00A81540" w:rsidP="00C340F5">
            <w:pPr>
              <w:pStyle w:val="NoSpacing"/>
              <w:rPr>
                <w:rFonts w:ascii="Palatino Linotype" w:hAnsi="Palatino Linotype"/>
              </w:rPr>
            </w:pPr>
            <w:r w:rsidRPr="00C340F5">
              <w:rPr>
                <w:rFonts w:ascii="Palatino Linotype" w:hAnsi="Palatino Linotype"/>
              </w:rPr>
              <w:t xml:space="preserve">F-stat </w:t>
            </w:r>
          </w:p>
        </w:tc>
        <w:tc>
          <w:tcPr>
            <w:tcW w:w="3807" w:type="dxa"/>
            <w:gridSpan w:val="3"/>
            <w:tcBorders>
              <w:top w:val="single" w:sz="4" w:space="0" w:color="auto"/>
              <w:left w:val="single" w:sz="4" w:space="0" w:color="auto"/>
            </w:tcBorders>
          </w:tcPr>
          <w:p w:rsidR="00A81540" w:rsidRPr="00C340F5" w:rsidRDefault="00A81540" w:rsidP="00C340F5">
            <w:pPr>
              <w:pStyle w:val="NoSpacing"/>
              <w:rPr>
                <w:rFonts w:ascii="Palatino Linotype" w:hAnsi="Palatino Linotype"/>
              </w:rPr>
            </w:pPr>
            <w:r w:rsidRPr="00C340F5">
              <w:rPr>
                <w:rFonts w:ascii="Palatino Linotype" w:hAnsi="Palatino Linotype"/>
              </w:rPr>
              <w:t>4.12</w:t>
            </w:r>
          </w:p>
        </w:tc>
      </w:tr>
      <w:tr w:rsidR="00A81540" w:rsidRPr="00C340F5" w:rsidTr="00250B7E">
        <w:tc>
          <w:tcPr>
            <w:tcW w:w="3794" w:type="dxa"/>
            <w:gridSpan w:val="2"/>
            <w:tcBorders>
              <w:right w:val="single" w:sz="4" w:space="0" w:color="auto"/>
            </w:tcBorders>
          </w:tcPr>
          <w:p w:rsidR="00A81540" w:rsidRPr="00C340F5" w:rsidRDefault="00A81540" w:rsidP="00C340F5">
            <w:pPr>
              <w:pStyle w:val="NoSpacing"/>
              <w:rPr>
                <w:rFonts w:ascii="Palatino Linotype" w:hAnsi="Palatino Linotype"/>
              </w:rPr>
            </w:pPr>
            <w:r w:rsidRPr="00C340F5">
              <w:rPr>
                <w:rFonts w:ascii="Palatino Linotype" w:hAnsi="Palatino Linotype"/>
              </w:rPr>
              <w:t>Serial correlation LM F-Test</w:t>
            </w:r>
          </w:p>
        </w:tc>
        <w:tc>
          <w:tcPr>
            <w:tcW w:w="3807" w:type="dxa"/>
            <w:gridSpan w:val="3"/>
            <w:tcBorders>
              <w:left w:val="single" w:sz="4" w:space="0" w:color="auto"/>
            </w:tcBorders>
          </w:tcPr>
          <w:p w:rsidR="00A81540" w:rsidRPr="00C340F5" w:rsidRDefault="00A81540" w:rsidP="00C340F5">
            <w:pPr>
              <w:pStyle w:val="NoSpacing"/>
              <w:rPr>
                <w:rFonts w:ascii="Palatino Linotype" w:hAnsi="Palatino Linotype"/>
              </w:rPr>
            </w:pPr>
            <w:r w:rsidRPr="00C340F5">
              <w:rPr>
                <w:rFonts w:ascii="Palatino Linotype" w:hAnsi="Palatino Linotype"/>
              </w:rPr>
              <w:t xml:space="preserve">2.03 (0.24)              </w:t>
            </w:r>
          </w:p>
        </w:tc>
      </w:tr>
      <w:tr w:rsidR="00A81540" w:rsidRPr="00C340F5" w:rsidTr="00250B7E">
        <w:tc>
          <w:tcPr>
            <w:tcW w:w="3794" w:type="dxa"/>
            <w:gridSpan w:val="2"/>
            <w:tcBorders>
              <w:right w:val="single" w:sz="4" w:space="0" w:color="auto"/>
            </w:tcBorders>
          </w:tcPr>
          <w:p w:rsidR="00A81540" w:rsidRPr="00C340F5" w:rsidRDefault="00A81540" w:rsidP="00C340F5">
            <w:pPr>
              <w:pStyle w:val="NoSpacing"/>
              <w:rPr>
                <w:rFonts w:ascii="Palatino Linotype" w:hAnsi="Palatino Linotype"/>
              </w:rPr>
            </w:pPr>
            <w:r w:rsidRPr="00C340F5">
              <w:rPr>
                <w:rFonts w:ascii="Palatino Linotype" w:hAnsi="Palatino Linotype"/>
              </w:rPr>
              <w:t>ARCH  LM F-Test</w:t>
            </w:r>
          </w:p>
        </w:tc>
        <w:tc>
          <w:tcPr>
            <w:tcW w:w="3807" w:type="dxa"/>
            <w:gridSpan w:val="3"/>
            <w:tcBorders>
              <w:left w:val="single" w:sz="4" w:space="0" w:color="auto"/>
            </w:tcBorders>
          </w:tcPr>
          <w:p w:rsidR="00A81540" w:rsidRPr="00C340F5" w:rsidRDefault="00A81540" w:rsidP="00C340F5">
            <w:pPr>
              <w:pStyle w:val="NoSpacing"/>
              <w:rPr>
                <w:rFonts w:ascii="Palatino Linotype" w:hAnsi="Palatino Linotype"/>
              </w:rPr>
            </w:pPr>
            <w:r w:rsidRPr="00C340F5">
              <w:rPr>
                <w:rFonts w:ascii="Palatino Linotype" w:hAnsi="Palatino Linotype"/>
              </w:rPr>
              <w:t>0.74(0.41)</w:t>
            </w:r>
          </w:p>
        </w:tc>
      </w:tr>
    </w:tbl>
    <w:p w:rsidR="00A81540" w:rsidRDefault="00A81540" w:rsidP="00C340F5">
      <w:pPr>
        <w:spacing w:after="0" w:line="240" w:lineRule="auto"/>
        <w:jc w:val="both"/>
        <w:rPr>
          <w:rFonts w:ascii="Palatino Linotype" w:hAnsi="Palatino Linotype"/>
          <w:bCs/>
          <w:i/>
        </w:rPr>
      </w:pPr>
      <w:r w:rsidRPr="00C340F5">
        <w:rPr>
          <w:rFonts w:ascii="Palatino Linotype" w:hAnsi="Palatino Linotype"/>
          <w:bCs/>
          <w:i/>
        </w:rPr>
        <w:t xml:space="preserve">Source: Author’s computation using </w:t>
      </w:r>
      <w:proofErr w:type="spellStart"/>
      <w:r w:rsidRPr="00C340F5">
        <w:rPr>
          <w:rFonts w:ascii="Palatino Linotype" w:hAnsi="Palatino Linotype"/>
          <w:bCs/>
          <w:i/>
        </w:rPr>
        <w:t>Eview</w:t>
      </w:r>
      <w:proofErr w:type="spellEnd"/>
      <w:r w:rsidRPr="00C340F5">
        <w:rPr>
          <w:rFonts w:ascii="Palatino Linotype" w:hAnsi="Palatino Linotype"/>
          <w:bCs/>
          <w:i/>
        </w:rPr>
        <w:t xml:space="preserve"> 9.0</w:t>
      </w:r>
    </w:p>
    <w:p w:rsidR="00803EED" w:rsidRPr="00C340F5" w:rsidRDefault="00803EED" w:rsidP="00C340F5">
      <w:pPr>
        <w:spacing w:after="0" w:line="240" w:lineRule="auto"/>
        <w:jc w:val="both"/>
        <w:rPr>
          <w:rFonts w:ascii="Palatino Linotype" w:hAnsi="Palatino Linotype"/>
          <w:bCs/>
          <w:i/>
        </w:rPr>
      </w:pPr>
    </w:p>
    <w:p w:rsidR="00A81540" w:rsidRDefault="00A81540" w:rsidP="00C340F5">
      <w:pPr>
        <w:autoSpaceDE w:val="0"/>
        <w:autoSpaceDN w:val="0"/>
        <w:adjustRightInd w:val="0"/>
        <w:spacing w:after="0" w:line="240" w:lineRule="auto"/>
        <w:jc w:val="both"/>
        <w:rPr>
          <w:rFonts w:ascii="Palatino Linotype" w:hAnsi="Palatino Linotype"/>
          <w:lang w:val="en-GB"/>
        </w:rPr>
      </w:pPr>
      <w:r w:rsidRPr="00C340F5">
        <w:rPr>
          <w:rFonts w:ascii="Palatino Linotype" w:hAnsi="Palatino Linotype"/>
          <w:lang w:val="en-GB"/>
        </w:rPr>
        <w:t xml:space="preserve">In </w:t>
      </w:r>
      <w:r w:rsidRPr="00C340F5">
        <w:rPr>
          <w:rFonts w:ascii="Palatino Linotype" w:hAnsi="Palatino Linotype"/>
          <w:color w:val="231F20"/>
        </w:rPr>
        <w:t xml:space="preserve">Table 4, </w:t>
      </w:r>
      <w:r w:rsidRPr="00C340F5">
        <w:rPr>
          <w:rFonts w:ascii="Palatino Linotype" w:hAnsi="Palatino Linotype"/>
          <w:lang w:val="en-GB"/>
        </w:rPr>
        <w:t xml:space="preserve">the bound co-integration test demonstrates that the null hypothesis of no co-integration is rejected at the 5% significance level. The computed </w:t>
      </w:r>
      <w:r w:rsidRPr="00C340F5">
        <w:rPr>
          <w:rFonts w:ascii="Palatino Linotype" w:hAnsi="Palatino Linotype"/>
          <w:iCs/>
          <w:lang w:val="en-GB"/>
        </w:rPr>
        <w:t>F</w:t>
      </w:r>
      <w:r w:rsidRPr="00C340F5">
        <w:rPr>
          <w:rFonts w:ascii="Palatino Linotype" w:hAnsi="Palatino Linotype"/>
          <w:lang w:val="en-GB"/>
        </w:rPr>
        <w:t>-statistic of 6.22 is greater than the upper critical bound value of 4.01 obtained from Narayan (2005)’s Table. This indicates the existence of a steady-state long-run relationship between economic growth and the explanatory variables most especially external reserves.</w:t>
      </w:r>
    </w:p>
    <w:p w:rsidR="00803EED" w:rsidRPr="00C340F5" w:rsidRDefault="00803EED" w:rsidP="00C340F5">
      <w:pPr>
        <w:autoSpaceDE w:val="0"/>
        <w:autoSpaceDN w:val="0"/>
        <w:adjustRightInd w:val="0"/>
        <w:spacing w:after="0" w:line="240" w:lineRule="auto"/>
        <w:jc w:val="both"/>
        <w:rPr>
          <w:rFonts w:ascii="Palatino Linotype" w:hAnsi="Palatino Linotype"/>
          <w:bCs/>
        </w:rPr>
      </w:pPr>
    </w:p>
    <w:p w:rsidR="00A81540" w:rsidRPr="00C340F5" w:rsidRDefault="00A81540" w:rsidP="00C340F5">
      <w:pPr>
        <w:autoSpaceDE w:val="0"/>
        <w:autoSpaceDN w:val="0"/>
        <w:adjustRightInd w:val="0"/>
        <w:spacing w:after="0" w:line="240" w:lineRule="auto"/>
        <w:jc w:val="both"/>
        <w:rPr>
          <w:rFonts w:ascii="Palatino Linotype" w:hAnsi="Palatino Linotype"/>
          <w:b/>
        </w:rPr>
      </w:pPr>
      <w:r w:rsidRPr="00C340F5">
        <w:rPr>
          <w:rFonts w:ascii="Palatino Linotype" w:hAnsi="Palatino Linotype"/>
          <w:b/>
        </w:rPr>
        <w:t xml:space="preserve">Table 4: ARDL Bound test for </w:t>
      </w:r>
      <w:proofErr w:type="spellStart"/>
      <w:r w:rsidRPr="00C340F5">
        <w:rPr>
          <w:rFonts w:ascii="Palatino Linotype" w:hAnsi="Palatino Linotype"/>
          <w:b/>
        </w:rPr>
        <w:t>cointegration</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5"/>
        <w:gridCol w:w="1915"/>
        <w:gridCol w:w="1915"/>
        <w:gridCol w:w="1473"/>
        <w:gridCol w:w="1350"/>
      </w:tblGrid>
      <w:tr w:rsidR="00A81540" w:rsidRPr="00C340F5" w:rsidTr="00250B7E">
        <w:tc>
          <w:tcPr>
            <w:tcW w:w="1915" w:type="dxa"/>
          </w:tcPr>
          <w:p w:rsidR="00A81540" w:rsidRPr="00C340F5" w:rsidRDefault="00A81540" w:rsidP="00C340F5">
            <w:pPr>
              <w:spacing w:after="0" w:line="240" w:lineRule="auto"/>
              <w:jc w:val="both"/>
              <w:rPr>
                <w:rFonts w:ascii="Palatino Linotype" w:hAnsi="Palatino Linotype"/>
              </w:rPr>
            </w:pPr>
          </w:p>
        </w:tc>
        <w:tc>
          <w:tcPr>
            <w:tcW w:w="3830" w:type="dxa"/>
            <w:gridSpan w:val="2"/>
          </w:tcPr>
          <w:p w:rsidR="00A81540" w:rsidRPr="00C340F5" w:rsidRDefault="00A81540" w:rsidP="00C340F5">
            <w:pPr>
              <w:spacing w:after="0" w:line="240" w:lineRule="auto"/>
              <w:jc w:val="both"/>
              <w:rPr>
                <w:rFonts w:ascii="Palatino Linotype" w:hAnsi="Palatino Linotype"/>
              </w:rPr>
            </w:pPr>
            <w:r w:rsidRPr="00C340F5">
              <w:rPr>
                <w:rFonts w:ascii="Palatino Linotype" w:hAnsi="Palatino Linotype"/>
              </w:rPr>
              <w:t>5 % Level</w:t>
            </w:r>
          </w:p>
        </w:tc>
        <w:tc>
          <w:tcPr>
            <w:tcW w:w="2823" w:type="dxa"/>
            <w:gridSpan w:val="2"/>
          </w:tcPr>
          <w:p w:rsidR="00A81540" w:rsidRPr="00C340F5" w:rsidRDefault="00A81540" w:rsidP="00C340F5">
            <w:pPr>
              <w:spacing w:after="0" w:line="240" w:lineRule="auto"/>
              <w:jc w:val="both"/>
              <w:rPr>
                <w:rFonts w:ascii="Palatino Linotype" w:hAnsi="Palatino Linotype"/>
              </w:rPr>
            </w:pPr>
            <w:r w:rsidRPr="00C340F5">
              <w:rPr>
                <w:rFonts w:ascii="Palatino Linotype" w:hAnsi="Palatino Linotype"/>
              </w:rPr>
              <w:t>10 % Level</w:t>
            </w:r>
          </w:p>
        </w:tc>
      </w:tr>
      <w:tr w:rsidR="00A81540" w:rsidRPr="00C340F5" w:rsidTr="00250B7E">
        <w:tc>
          <w:tcPr>
            <w:tcW w:w="1915" w:type="dxa"/>
          </w:tcPr>
          <w:p w:rsidR="00A81540" w:rsidRPr="00C340F5" w:rsidRDefault="00A81540" w:rsidP="00C340F5">
            <w:pPr>
              <w:spacing w:after="0" w:line="240" w:lineRule="auto"/>
              <w:jc w:val="both"/>
              <w:rPr>
                <w:rFonts w:ascii="Palatino Linotype" w:hAnsi="Palatino Linotype"/>
              </w:rPr>
            </w:pPr>
            <w:r w:rsidRPr="00C340F5">
              <w:rPr>
                <w:rFonts w:ascii="Palatino Linotype" w:hAnsi="Palatino Linotype"/>
              </w:rPr>
              <w:t>K</w:t>
            </w:r>
          </w:p>
        </w:tc>
        <w:tc>
          <w:tcPr>
            <w:tcW w:w="1915" w:type="dxa"/>
          </w:tcPr>
          <w:p w:rsidR="00A81540" w:rsidRPr="00C340F5" w:rsidRDefault="00A81540" w:rsidP="00C340F5">
            <w:pPr>
              <w:spacing w:after="0" w:line="240" w:lineRule="auto"/>
              <w:jc w:val="both"/>
              <w:rPr>
                <w:rFonts w:ascii="Palatino Linotype" w:hAnsi="Palatino Linotype"/>
              </w:rPr>
            </w:pPr>
            <w:r w:rsidRPr="00C340F5">
              <w:rPr>
                <w:rFonts w:ascii="Palatino Linotype" w:hAnsi="Palatino Linotype"/>
              </w:rPr>
              <w:t>I(0)</w:t>
            </w:r>
          </w:p>
        </w:tc>
        <w:tc>
          <w:tcPr>
            <w:tcW w:w="1915" w:type="dxa"/>
          </w:tcPr>
          <w:p w:rsidR="00A81540" w:rsidRPr="00C340F5" w:rsidRDefault="00A81540" w:rsidP="00C340F5">
            <w:pPr>
              <w:spacing w:after="0" w:line="240" w:lineRule="auto"/>
              <w:jc w:val="both"/>
              <w:rPr>
                <w:rFonts w:ascii="Palatino Linotype" w:hAnsi="Palatino Linotype"/>
              </w:rPr>
            </w:pPr>
            <w:r w:rsidRPr="00C340F5">
              <w:rPr>
                <w:rFonts w:ascii="Palatino Linotype" w:hAnsi="Palatino Linotype"/>
              </w:rPr>
              <w:t>I(1)</w:t>
            </w:r>
          </w:p>
        </w:tc>
        <w:tc>
          <w:tcPr>
            <w:tcW w:w="1473" w:type="dxa"/>
          </w:tcPr>
          <w:p w:rsidR="00A81540" w:rsidRPr="00C340F5" w:rsidRDefault="00A81540" w:rsidP="00C340F5">
            <w:pPr>
              <w:spacing w:after="0" w:line="240" w:lineRule="auto"/>
              <w:jc w:val="both"/>
              <w:rPr>
                <w:rFonts w:ascii="Palatino Linotype" w:hAnsi="Palatino Linotype"/>
              </w:rPr>
            </w:pPr>
            <w:r w:rsidRPr="00C340F5">
              <w:rPr>
                <w:rFonts w:ascii="Palatino Linotype" w:hAnsi="Palatino Linotype"/>
              </w:rPr>
              <w:t>I(0)</w:t>
            </w:r>
          </w:p>
        </w:tc>
        <w:tc>
          <w:tcPr>
            <w:tcW w:w="1350" w:type="dxa"/>
          </w:tcPr>
          <w:p w:rsidR="00A81540" w:rsidRPr="00C340F5" w:rsidRDefault="00A81540" w:rsidP="00C340F5">
            <w:pPr>
              <w:spacing w:after="0" w:line="240" w:lineRule="auto"/>
              <w:jc w:val="both"/>
              <w:rPr>
                <w:rFonts w:ascii="Palatino Linotype" w:hAnsi="Palatino Linotype"/>
              </w:rPr>
            </w:pPr>
            <w:r w:rsidRPr="00C340F5">
              <w:rPr>
                <w:rFonts w:ascii="Palatino Linotype" w:hAnsi="Palatino Linotype"/>
              </w:rPr>
              <w:t>I(1)</w:t>
            </w:r>
          </w:p>
        </w:tc>
      </w:tr>
      <w:tr w:rsidR="00A81540" w:rsidRPr="00C340F5" w:rsidTr="00250B7E">
        <w:tc>
          <w:tcPr>
            <w:tcW w:w="1915" w:type="dxa"/>
          </w:tcPr>
          <w:p w:rsidR="00A81540" w:rsidRPr="00C340F5" w:rsidRDefault="00A81540" w:rsidP="00C340F5">
            <w:pPr>
              <w:spacing w:after="0" w:line="240" w:lineRule="auto"/>
              <w:jc w:val="both"/>
              <w:rPr>
                <w:rFonts w:ascii="Palatino Linotype" w:hAnsi="Palatino Linotype"/>
              </w:rPr>
            </w:pPr>
            <w:r w:rsidRPr="00C340F5">
              <w:rPr>
                <w:rFonts w:ascii="Palatino Linotype" w:hAnsi="Palatino Linotype"/>
              </w:rPr>
              <w:t>4</w:t>
            </w:r>
          </w:p>
        </w:tc>
        <w:tc>
          <w:tcPr>
            <w:tcW w:w="1915" w:type="dxa"/>
          </w:tcPr>
          <w:p w:rsidR="00A81540" w:rsidRPr="00C340F5" w:rsidRDefault="00A81540" w:rsidP="00C340F5">
            <w:pPr>
              <w:spacing w:after="0" w:line="240" w:lineRule="auto"/>
              <w:jc w:val="both"/>
              <w:rPr>
                <w:rFonts w:ascii="Palatino Linotype" w:hAnsi="Palatino Linotype"/>
              </w:rPr>
            </w:pPr>
            <w:r w:rsidRPr="00C340F5">
              <w:rPr>
                <w:rFonts w:ascii="Palatino Linotype" w:hAnsi="Palatino Linotype"/>
              </w:rPr>
              <w:t>2.86</w:t>
            </w:r>
          </w:p>
        </w:tc>
        <w:tc>
          <w:tcPr>
            <w:tcW w:w="1915" w:type="dxa"/>
          </w:tcPr>
          <w:p w:rsidR="00A81540" w:rsidRPr="00C340F5" w:rsidRDefault="00A81540" w:rsidP="00C340F5">
            <w:pPr>
              <w:spacing w:after="0" w:line="240" w:lineRule="auto"/>
              <w:jc w:val="both"/>
              <w:rPr>
                <w:rFonts w:ascii="Palatino Linotype" w:hAnsi="Palatino Linotype"/>
              </w:rPr>
            </w:pPr>
            <w:r w:rsidRPr="00C340F5">
              <w:rPr>
                <w:rFonts w:ascii="Palatino Linotype" w:hAnsi="Palatino Linotype"/>
              </w:rPr>
              <w:t>4.01</w:t>
            </w:r>
          </w:p>
        </w:tc>
        <w:tc>
          <w:tcPr>
            <w:tcW w:w="1473" w:type="dxa"/>
          </w:tcPr>
          <w:p w:rsidR="00A81540" w:rsidRPr="00C340F5" w:rsidRDefault="00A81540" w:rsidP="00C340F5">
            <w:pPr>
              <w:spacing w:after="0" w:line="240" w:lineRule="auto"/>
              <w:jc w:val="both"/>
              <w:rPr>
                <w:rFonts w:ascii="Palatino Linotype" w:hAnsi="Palatino Linotype"/>
              </w:rPr>
            </w:pPr>
            <w:r w:rsidRPr="00C340F5">
              <w:rPr>
                <w:rFonts w:ascii="Palatino Linotype" w:hAnsi="Palatino Linotype"/>
              </w:rPr>
              <w:t>2.45</w:t>
            </w:r>
          </w:p>
        </w:tc>
        <w:tc>
          <w:tcPr>
            <w:tcW w:w="1350" w:type="dxa"/>
          </w:tcPr>
          <w:p w:rsidR="00A81540" w:rsidRPr="00C340F5" w:rsidRDefault="00A81540" w:rsidP="00C340F5">
            <w:pPr>
              <w:spacing w:after="0" w:line="240" w:lineRule="auto"/>
              <w:jc w:val="both"/>
              <w:rPr>
                <w:rFonts w:ascii="Palatino Linotype" w:hAnsi="Palatino Linotype"/>
              </w:rPr>
            </w:pPr>
            <w:r w:rsidRPr="00C340F5">
              <w:rPr>
                <w:rFonts w:ascii="Palatino Linotype" w:hAnsi="Palatino Linotype"/>
              </w:rPr>
              <w:t>3.52</w:t>
            </w:r>
          </w:p>
        </w:tc>
      </w:tr>
      <w:tr w:rsidR="00A81540" w:rsidRPr="00C340F5" w:rsidTr="00250B7E">
        <w:tc>
          <w:tcPr>
            <w:tcW w:w="8568" w:type="dxa"/>
            <w:gridSpan w:val="5"/>
          </w:tcPr>
          <w:p w:rsidR="00A81540" w:rsidRPr="00C340F5" w:rsidRDefault="00A81540" w:rsidP="00C340F5">
            <w:pPr>
              <w:spacing w:after="0" w:line="240" w:lineRule="auto"/>
              <w:jc w:val="both"/>
              <w:rPr>
                <w:rFonts w:ascii="Palatino Linotype" w:hAnsi="Palatino Linotype"/>
              </w:rPr>
            </w:pPr>
            <w:r w:rsidRPr="00C340F5">
              <w:rPr>
                <w:rFonts w:ascii="Palatino Linotype" w:hAnsi="Palatino Linotype"/>
              </w:rPr>
              <w:t>Computed F-Statistics = 6.22</w:t>
            </w:r>
          </w:p>
        </w:tc>
      </w:tr>
    </w:tbl>
    <w:p w:rsidR="00A81540" w:rsidRPr="00C340F5" w:rsidRDefault="00A81540" w:rsidP="00C340F5">
      <w:pPr>
        <w:spacing w:after="0" w:line="240" w:lineRule="auto"/>
        <w:rPr>
          <w:rFonts w:ascii="Palatino Linotype" w:hAnsi="Palatino Linotype"/>
          <w:i/>
        </w:rPr>
      </w:pPr>
      <w:r w:rsidRPr="00C340F5">
        <w:rPr>
          <w:rFonts w:ascii="Palatino Linotype" w:hAnsi="Palatino Linotype"/>
          <w:i/>
          <w:color w:val="231F20"/>
        </w:rPr>
        <w:t xml:space="preserve">Source: Narayan (2005) Table CI (iii) Case III: </w:t>
      </w:r>
      <w:r w:rsidRPr="00C340F5">
        <w:rPr>
          <w:rFonts w:ascii="Palatino Linotype" w:hAnsi="Palatino Linotype"/>
          <w:i/>
          <w:lang w:val="en-GB"/>
        </w:rPr>
        <w:t>Unrestricted intercept and no trend</w:t>
      </w:r>
    </w:p>
    <w:p w:rsidR="00A81540" w:rsidRDefault="00A81540" w:rsidP="00C340F5">
      <w:pPr>
        <w:autoSpaceDE w:val="0"/>
        <w:autoSpaceDN w:val="0"/>
        <w:adjustRightInd w:val="0"/>
        <w:spacing w:after="0" w:line="240" w:lineRule="auto"/>
        <w:jc w:val="both"/>
        <w:rPr>
          <w:rFonts w:ascii="Palatino Linotype" w:hAnsi="Palatino Linotype"/>
          <w:lang w:val="en-GB"/>
        </w:rPr>
      </w:pPr>
      <w:r w:rsidRPr="00C340F5">
        <w:rPr>
          <w:rFonts w:ascii="Palatino Linotype" w:hAnsi="Palatino Linotype"/>
          <w:lang w:val="en-GB"/>
        </w:rPr>
        <w:t xml:space="preserve">Table 5 is the short-run error correction model in which the speed of adjustment term between the short and long run is introduced. The diagnostic tests and the CUSUM plot in Fig 2 that checked the validity of the model were carried out. The F-statistic is presented with its corresponding p-values in parenthesis. </w:t>
      </w:r>
    </w:p>
    <w:p w:rsidR="00803EED" w:rsidRPr="00C340F5" w:rsidRDefault="00803EED" w:rsidP="00C340F5">
      <w:pPr>
        <w:autoSpaceDE w:val="0"/>
        <w:autoSpaceDN w:val="0"/>
        <w:adjustRightInd w:val="0"/>
        <w:spacing w:after="0" w:line="240" w:lineRule="auto"/>
        <w:jc w:val="both"/>
        <w:rPr>
          <w:rFonts w:ascii="Palatino Linotype" w:hAnsi="Palatino Linotype"/>
          <w:lang w:val="en-GB"/>
        </w:rPr>
      </w:pPr>
    </w:p>
    <w:p w:rsidR="00A81540" w:rsidRPr="00C340F5" w:rsidRDefault="00A81540" w:rsidP="00C340F5">
      <w:pPr>
        <w:pStyle w:val="NoSpacing"/>
        <w:rPr>
          <w:rFonts w:ascii="Palatino Linotype" w:hAnsi="Palatino Linotype"/>
        </w:rPr>
      </w:pPr>
      <w:r w:rsidRPr="00C340F5">
        <w:rPr>
          <w:rFonts w:ascii="Palatino Linotype" w:hAnsi="Palatino Linotype"/>
          <w:b/>
        </w:rPr>
        <w:t>Table 5: Estimated ECM</w:t>
      </w:r>
    </w:p>
    <w:p w:rsidR="00A81540" w:rsidRPr="00C340F5" w:rsidRDefault="00A81540" w:rsidP="00C340F5">
      <w:pPr>
        <w:pStyle w:val="NoSpacing"/>
        <w:rPr>
          <w:rFonts w:ascii="Palatino Linotype" w:hAnsi="Palatino Linotype"/>
        </w:rPr>
      </w:pPr>
      <w:r w:rsidRPr="00C340F5">
        <w:rPr>
          <w:rFonts w:ascii="Palatino Linotype" w:hAnsi="Palatino Linotype"/>
          <w:b/>
        </w:rPr>
        <w:t>Dependent variable: DLGDP</w:t>
      </w:r>
    </w:p>
    <w:tbl>
      <w:tblPr>
        <w:tblW w:w="7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99"/>
        <w:gridCol w:w="1139"/>
        <w:gridCol w:w="180"/>
        <w:gridCol w:w="1350"/>
        <w:gridCol w:w="1170"/>
        <w:gridCol w:w="1350"/>
      </w:tblGrid>
      <w:tr w:rsidR="00A81540" w:rsidRPr="00C340F5" w:rsidTr="00250B7E">
        <w:tc>
          <w:tcPr>
            <w:tcW w:w="2299" w:type="dxa"/>
          </w:tcPr>
          <w:p w:rsidR="00A81540" w:rsidRPr="00C340F5" w:rsidRDefault="00A81540" w:rsidP="00C340F5">
            <w:pPr>
              <w:pStyle w:val="NoSpacing"/>
              <w:rPr>
                <w:rFonts w:ascii="Palatino Linotype" w:hAnsi="Palatino Linotype"/>
              </w:rPr>
            </w:pPr>
            <w:r w:rsidRPr="00C340F5">
              <w:rPr>
                <w:rFonts w:ascii="Palatino Linotype" w:hAnsi="Palatino Linotype"/>
              </w:rPr>
              <w:t>Variable</w:t>
            </w:r>
          </w:p>
        </w:tc>
        <w:tc>
          <w:tcPr>
            <w:tcW w:w="1319" w:type="dxa"/>
            <w:gridSpan w:val="2"/>
          </w:tcPr>
          <w:p w:rsidR="00A81540" w:rsidRPr="00C340F5" w:rsidRDefault="00A81540" w:rsidP="00C340F5">
            <w:pPr>
              <w:pStyle w:val="NoSpacing"/>
              <w:rPr>
                <w:rFonts w:ascii="Palatino Linotype" w:hAnsi="Palatino Linotype"/>
              </w:rPr>
            </w:pPr>
            <w:r w:rsidRPr="00C340F5">
              <w:rPr>
                <w:rFonts w:ascii="Palatino Linotype" w:hAnsi="Palatino Linotype"/>
              </w:rPr>
              <w:t>Coefficient</w:t>
            </w:r>
          </w:p>
        </w:tc>
        <w:tc>
          <w:tcPr>
            <w:tcW w:w="1350" w:type="dxa"/>
          </w:tcPr>
          <w:p w:rsidR="00A81540" w:rsidRPr="00C340F5" w:rsidRDefault="00A81540" w:rsidP="00C340F5">
            <w:pPr>
              <w:pStyle w:val="NoSpacing"/>
              <w:rPr>
                <w:rFonts w:ascii="Palatino Linotype" w:hAnsi="Palatino Linotype"/>
              </w:rPr>
            </w:pPr>
            <w:proofErr w:type="spellStart"/>
            <w:r w:rsidRPr="00C340F5">
              <w:rPr>
                <w:rFonts w:ascii="Palatino Linotype" w:hAnsi="Palatino Linotype"/>
              </w:rPr>
              <w:t>Std</w:t>
            </w:r>
            <w:proofErr w:type="spellEnd"/>
            <w:r w:rsidRPr="00C340F5">
              <w:rPr>
                <w:rFonts w:ascii="Palatino Linotype" w:hAnsi="Palatino Linotype"/>
              </w:rPr>
              <w:t xml:space="preserve"> error</w:t>
            </w:r>
          </w:p>
        </w:tc>
        <w:tc>
          <w:tcPr>
            <w:tcW w:w="1170" w:type="dxa"/>
          </w:tcPr>
          <w:p w:rsidR="00A81540" w:rsidRPr="00C340F5" w:rsidRDefault="00A81540" w:rsidP="00C340F5">
            <w:pPr>
              <w:pStyle w:val="NoSpacing"/>
              <w:rPr>
                <w:rFonts w:ascii="Palatino Linotype" w:hAnsi="Palatino Linotype"/>
              </w:rPr>
            </w:pPr>
            <w:r w:rsidRPr="00C340F5">
              <w:rPr>
                <w:rFonts w:ascii="Palatino Linotype" w:hAnsi="Palatino Linotype"/>
              </w:rPr>
              <w:t>t-statistic</w:t>
            </w:r>
          </w:p>
        </w:tc>
        <w:tc>
          <w:tcPr>
            <w:tcW w:w="1350" w:type="dxa"/>
          </w:tcPr>
          <w:p w:rsidR="00A81540" w:rsidRPr="00C340F5" w:rsidRDefault="00A81540" w:rsidP="00C340F5">
            <w:pPr>
              <w:pStyle w:val="NoSpacing"/>
              <w:rPr>
                <w:rFonts w:ascii="Palatino Linotype" w:hAnsi="Palatino Linotype"/>
              </w:rPr>
            </w:pPr>
            <w:r w:rsidRPr="00C340F5">
              <w:rPr>
                <w:rFonts w:ascii="Palatino Linotype" w:hAnsi="Palatino Linotype"/>
              </w:rPr>
              <w:t>Probability</w:t>
            </w:r>
          </w:p>
        </w:tc>
      </w:tr>
      <w:tr w:rsidR="00A81540" w:rsidRPr="00C340F5" w:rsidTr="00250B7E">
        <w:tc>
          <w:tcPr>
            <w:tcW w:w="2299" w:type="dxa"/>
          </w:tcPr>
          <w:p w:rsidR="00A81540" w:rsidRPr="00C340F5" w:rsidRDefault="00A81540" w:rsidP="00C340F5">
            <w:pPr>
              <w:pStyle w:val="NoSpacing"/>
              <w:rPr>
                <w:rFonts w:ascii="Palatino Linotype" w:hAnsi="Palatino Linotype"/>
              </w:rPr>
            </w:pPr>
            <w:r w:rsidRPr="00C340F5">
              <w:rPr>
                <w:rFonts w:ascii="Palatino Linotype" w:hAnsi="Palatino Linotype"/>
              </w:rPr>
              <w:t>Constant</w:t>
            </w:r>
          </w:p>
        </w:tc>
        <w:tc>
          <w:tcPr>
            <w:tcW w:w="1319" w:type="dxa"/>
            <w:gridSpan w:val="2"/>
          </w:tcPr>
          <w:p w:rsidR="00A81540" w:rsidRPr="00C340F5" w:rsidRDefault="00A81540" w:rsidP="00C340F5">
            <w:pPr>
              <w:pStyle w:val="NoSpacing"/>
              <w:rPr>
                <w:rFonts w:ascii="Palatino Linotype" w:hAnsi="Palatino Linotype"/>
              </w:rPr>
            </w:pPr>
            <w:r w:rsidRPr="00C340F5">
              <w:rPr>
                <w:rFonts w:ascii="Palatino Linotype" w:hAnsi="Palatino Linotype"/>
              </w:rPr>
              <w:t>0.12</w:t>
            </w:r>
          </w:p>
        </w:tc>
        <w:tc>
          <w:tcPr>
            <w:tcW w:w="1350" w:type="dxa"/>
          </w:tcPr>
          <w:p w:rsidR="00A81540" w:rsidRPr="00C340F5" w:rsidRDefault="00A81540" w:rsidP="00C340F5">
            <w:pPr>
              <w:pStyle w:val="NoSpacing"/>
              <w:rPr>
                <w:rFonts w:ascii="Palatino Linotype" w:hAnsi="Palatino Linotype"/>
              </w:rPr>
            </w:pPr>
            <w:r w:rsidRPr="00C340F5">
              <w:rPr>
                <w:rFonts w:ascii="Palatino Linotype" w:hAnsi="Palatino Linotype"/>
              </w:rPr>
              <w:t>0.10</w:t>
            </w:r>
          </w:p>
        </w:tc>
        <w:tc>
          <w:tcPr>
            <w:tcW w:w="1170" w:type="dxa"/>
          </w:tcPr>
          <w:p w:rsidR="00A81540" w:rsidRPr="00C340F5" w:rsidRDefault="00A81540" w:rsidP="00C340F5">
            <w:pPr>
              <w:pStyle w:val="NoSpacing"/>
              <w:rPr>
                <w:rFonts w:ascii="Palatino Linotype" w:hAnsi="Palatino Linotype"/>
              </w:rPr>
            </w:pPr>
            <w:r w:rsidRPr="00C340F5">
              <w:rPr>
                <w:rFonts w:ascii="Palatino Linotype" w:hAnsi="Palatino Linotype"/>
              </w:rPr>
              <w:t xml:space="preserve">  1.20</w:t>
            </w:r>
          </w:p>
        </w:tc>
        <w:tc>
          <w:tcPr>
            <w:tcW w:w="1350" w:type="dxa"/>
          </w:tcPr>
          <w:p w:rsidR="00A81540" w:rsidRPr="00C340F5" w:rsidRDefault="00A81540" w:rsidP="00C340F5">
            <w:pPr>
              <w:pStyle w:val="NoSpacing"/>
              <w:rPr>
                <w:rFonts w:ascii="Palatino Linotype" w:hAnsi="Palatino Linotype"/>
              </w:rPr>
            </w:pPr>
            <w:r w:rsidRPr="00C340F5">
              <w:rPr>
                <w:rFonts w:ascii="Palatino Linotype" w:hAnsi="Palatino Linotype"/>
              </w:rPr>
              <w:t>0.34</w:t>
            </w:r>
          </w:p>
        </w:tc>
      </w:tr>
      <w:tr w:rsidR="00A81540" w:rsidRPr="00C340F5" w:rsidTr="00250B7E">
        <w:tc>
          <w:tcPr>
            <w:tcW w:w="2299" w:type="dxa"/>
          </w:tcPr>
          <w:p w:rsidR="00A81540" w:rsidRPr="00C340F5" w:rsidRDefault="00A81540" w:rsidP="00C340F5">
            <w:pPr>
              <w:pStyle w:val="NoSpacing"/>
              <w:rPr>
                <w:rFonts w:ascii="Palatino Linotype" w:hAnsi="Palatino Linotype"/>
              </w:rPr>
            </w:pPr>
            <w:r w:rsidRPr="00C340F5">
              <w:rPr>
                <w:rFonts w:ascii="Palatino Linotype" w:hAnsi="Palatino Linotype"/>
                <w:lang w:val="en-GB"/>
              </w:rPr>
              <w:t>∆</w:t>
            </w:r>
            <w:r w:rsidRPr="00C340F5">
              <w:rPr>
                <w:rFonts w:ascii="Palatino Linotype" w:hAnsi="Palatino Linotype"/>
              </w:rPr>
              <w:t>LGDP(-1)</w:t>
            </w:r>
          </w:p>
        </w:tc>
        <w:tc>
          <w:tcPr>
            <w:tcW w:w="1319" w:type="dxa"/>
            <w:gridSpan w:val="2"/>
          </w:tcPr>
          <w:p w:rsidR="00A81540" w:rsidRPr="00C340F5" w:rsidRDefault="00A81540" w:rsidP="00C340F5">
            <w:pPr>
              <w:pStyle w:val="NoSpacing"/>
              <w:rPr>
                <w:rFonts w:ascii="Palatino Linotype" w:hAnsi="Palatino Linotype"/>
              </w:rPr>
            </w:pPr>
            <w:r w:rsidRPr="00C340F5">
              <w:rPr>
                <w:rFonts w:ascii="Palatino Linotype" w:hAnsi="Palatino Linotype"/>
              </w:rPr>
              <w:t>0.21</w:t>
            </w:r>
          </w:p>
        </w:tc>
        <w:tc>
          <w:tcPr>
            <w:tcW w:w="1350" w:type="dxa"/>
          </w:tcPr>
          <w:p w:rsidR="00A81540" w:rsidRPr="00C340F5" w:rsidRDefault="00A81540" w:rsidP="00C340F5">
            <w:pPr>
              <w:pStyle w:val="NoSpacing"/>
              <w:rPr>
                <w:rFonts w:ascii="Palatino Linotype" w:hAnsi="Palatino Linotype"/>
              </w:rPr>
            </w:pPr>
            <w:r w:rsidRPr="00C340F5">
              <w:rPr>
                <w:rFonts w:ascii="Palatino Linotype" w:hAnsi="Palatino Linotype"/>
              </w:rPr>
              <w:t>0.06</w:t>
            </w:r>
          </w:p>
        </w:tc>
        <w:tc>
          <w:tcPr>
            <w:tcW w:w="1170" w:type="dxa"/>
          </w:tcPr>
          <w:p w:rsidR="00A81540" w:rsidRPr="00C340F5" w:rsidRDefault="00A81540" w:rsidP="00C340F5">
            <w:pPr>
              <w:pStyle w:val="NoSpacing"/>
              <w:rPr>
                <w:rFonts w:ascii="Palatino Linotype" w:hAnsi="Palatino Linotype"/>
              </w:rPr>
            </w:pPr>
            <w:r w:rsidRPr="00C340F5">
              <w:rPr>
                <w:rFonts w:ascii="Palatino Linotype" w:hAnsi="Palatino Linotype"/>
              </w:rPr>
              <w:t xml:space="preserve">  3.50</w:t>
            </w:r>
          </w:p>
        </w:tc>
        <w:tc>
          <w:tcPr>
            <w:tcW w:w="1350" w:type="dxa"/>
          </w:tcPr>
          <w:p w:rsidR="00A81540" w:rsidRPr="00C340F5" w:rsidRDefault="00A81540" w:rsidP="00C340F5">
            <w:pPr>
              <w:pStyle w:val="NoSpacing"/>
              <w:rPr>
                <w:rFonts w:ascii="Palatino Linotype" w:hAnsi="Palatino Linotype"/>
              </w:rPr>
            </w:pPr>
            <w:r w:rsidRPr="00C340F5">
              <w:rPr>
                <w:rFonts w:ascii="Palatino Linotype" w:hAnsi="Palatino Linotype"/>
              </w:rPr>
              <w:t>0.00</w:t>
            </w:r>
          </w:p>
        </w:tc>
      </w:tr>
      <w:tr w:rsidR="00A81540" w:rsidRPr="00C340F5" w:rsidTr="00250B7E">
        <w:trPr>
          <w:trHeight w:val="314"/>
        </w:trPr>
        <w:tc>
          <w:tcPr>
            <w:tcW w:w="2299" w:type="dxa"/>
            <w:tcBorders>
              <w:bottom w:val="single" w:sz="4" w:space="0" w:color="auto"/>
            </w:tcBorders>
          </w:tcPr>
          <w:p w:rsidR="00A81540" w:rsidRPr="00C340F5" w:rsidRDefault="00A81540" w:rsidP="00C340F5">
            <w:pPr>
              <w:pStyle w:val="NoSpacing"/>
              <w:rPr>
                <w:rFonts w:ascii="Palatino Linotype" w:hAnsi="Palatino Linotype"/>
              </w:rPr>
            </w:pPr>
            <w:r w:rsidRPr="00C340F5">
              <w:rPr>
                <w:rFonts w:ascii="Palatino Linotype" w:hAnsi="Palatino Linotype"/>
                <w:lang w:val="en-GB"/>
              </w:rPr>
              <w:t>∆</w:t>
            </w:r>
            <w:r w:rsidRPr="00C340F5">
              <w:rPr>
                <w:rFonts w:ascii="Palatino Linotype" w:hAnsi="Palatino Linotype"/>
              </w:rPr>
              <w:t>LEXTR(-1)</w:t>
            </w:r>
          </w:p>
        </w:tc>
        <w:tc>
          <w:tcPr>
            <w:tcW w:w="1319" w:type="dxa"/>
            <w:gridSpan w:val="2"/>
            <w:tcBorders>
              <w:bottom w:val="single" w:sz="4" w:space="0" w:color="auto"/>
            </w:tcBorders>
          </w:tcPr>
          <w:p w:rsidR="00A81540" w:rsidRPr="00C340F5" w:rsidRDefault="00A81540" w:rsidP="00C340F5">
            <w:pPr>
              <w:pStyle w:val="NoSpacing"/>
              <w:rPr>
                <w:rFonts w:ascii="Palatino Linotype" w:hAnsi="Palatino Linotype"/>
              </w:rPr>
            </w:pPr>
            <w:r w:rsidRPr="00C340F5">
              <w:rPr>
                <w:rFonts w:ascii="Palatino Linotype" w:hAnsi="Palatino Linotype"/>
              </w:rPr>
              <w:t>0.22</w:t>
            </w:r>
          </w:p>
        </w:tc>
        <w:tc>
          <w:tcPr>
            <w:tcW w:w="1350" w:type="dxa"/>
            <w:tcBorders>
              <w:bottom w:val="single" w:sz="4" w:space="0" w:color="auto"/>
            </w:tcBorders>
          </w:tcPr>
          <w:p w:rsidR="00A81540" w:rsidRPr="00C340F5" w:rsidRDefault="00A81540" w:rsidP="00C340F5">
            <w:pPr>
              <w:pStyle w:val="NoSpacing"/>
              <w:rPr>
                <w:rFonts w:ascii="Palatino Linotype" w:hAnsi="Palatino Linotype"/>
              </w:rPr>
            </w:pPr>
            <w:r w:rsidRPr="00C340F5">
              <w:rPr>
                <w:rFonts w:ascii="Palatino Linotype" w:hAnsi="Palatino Linotype"/>
              </w:rPr>
              <w:t>0.09</w:t>
            </w:r>
          </w:p>
        </w:tc>
        <w:tc>
          <w:tcPr>
            <w:tcW w:w="1170" w:type="dxa"/>
            <w:tcBorders>
              <w:bottom w:val="single" w:sz="4" w:space="0" w:color="auto"/>
            </w:tcBorders>
          </w:tcPr>
          <w:p w:rsidR="00A81540" w:rsidRPr="00C340F5" w:rsidRDefault="00A81540" w:rsidP="00C340F5">
            <w:pPr>
              <w:pStyle w:val="NoSpacing"/>
              <w:rPr>
                <w:rFonts w:ascii="Palatino Linotype" w:hAnsi="Palatino Linotype"/>
              </w:rPr>
            </w:pPr>
            <w:r w:rsidRPr="00C340F5">
              <w:rPr>
                <w:rFonts w:ascii="Palatino Linotype" w:hAnsi="Palatino Linotype"/>
              </w:rPr>
              <w:t xml:space="preserve">  2.44</w:t>
            </w:r>
          </w:p>
        </w:tc>
        <w:tc>
          <w:tcPr>
            <w:tcW w:w="1350" w:type="dxa"/>
            <w:tcBorders>
              <w:bottom w:val="single" w:sz="4" w:space="0" w:color="auto"/>
            </w:tcBorders>
          </w:tcPr>
          <w:p w:rsidR="00A81540" w:rsidRPr="00C340F5" w:rsidRDefault="00A81540" w:rsidP="00C340F5">
            <w:pPr>
              <w:pStyle w:val="NoSpacing"/>
              <w:rPr>
                <w:rFonts w:ascii="Palatino Linotype" w:hAnsi="Palatino Linotype"/>
              </w:rPr>
            </w:pPr>
            <w:r w:rsidRPr="00C340F5">
              <w:rPr>
                <w:rFonts w:ascii="Palatino Linotype" w:hAnsi="Palatino Linotype"/>
              </w:rPr>
              <w:t>0.04</w:t>
            </w:r>
          </w:p>
        </w:tc>
      </w:tr>
      <w:tr w:rsidR="00A81540" w:rsidRPr="00C340F5" w:rsidTr="00250B7E">
        <w:trPr>
          <w:trHeight w:val="149"/>
        </w:trPr>
        <w:tc>
          <w:tcPr>
            <w:tcW w:w="2299" w:type="dxa"/>
            <w:tcBorders>
              <w:top w:val="single" w:sz="4" w:space="0" w:color="auto"/>
            </w:tcBorders>
          </w:tcPr>
          <w:p w:rsidR="00A81540" w:rsidRPr="00C340F5" w:rsidRDefault="00A81540" w:rsidP="00C340F5">
            <w:pPr>
              <w:pStyle w:val="NoSpacing"/>
              <w:rPr>
                <w:rFonts w:ascii="Palatino Linotype" w:hAnsi="Palatino Linotype"/>
              </w:rPr>
            </w:pPr>
            <w:r w:rsidRPr="00C340F5">
              <w:rPr>
                <w:rFonts w:ascii="Palatino Linotype" w:hAnsi="Palatino Linotype"/>
                <w:lang w:val="en-GB"/>
              </w:rPr>
              <w:t>∆</w:t>
            </w:r>
            <w:r w:rsidRPr="00C340F5">
              <w:rPr>
                <w:rFonts w:ascii="Palatino Linotype" w:hAnsi="Palatino Linotype"/>
              </w:rPr>
              <w:t>LEXCR(-1)</w:t>
            </w:r>
          </w:p>
        </w:tc>
        <w:tc>
          <w:tcPr>
            <w:tcW w:w="1319" w:type="dxa"/>
            <w:gridSpan w:val="2"/>
            <w:tcBorders>
              <w:top w:val="single" w:sz="4" w:space="0" w:color="auto"/>
            </w:tcBorders>
          </w:tcPr>
          <w:p w:rsidR="00A81540" w:rsidRPr="00C340F5" w:rsidRDefault="00A81540" w:rsidP="00C340F5">
            <w:pPr>
              <w:pStyle w:val="NoSpacing"/>
              <w:rPr>
                <w:rFonts w:ascii="Palatino Linotype" w:hAnsi="Palatino Linotype"/>
              </w:rPr>
            </w:pPr>
            <w:r w:rsidRPr="00C340F5">
              <w:rPr>
                <w:rFonts w:ascii="Palatino Linotype" w:hAnsi="Palatino Linotype"/>
              </w:rPr>
              <w:t>-0.10</w:t>
            </w:r>
          </w:p>
        </w:tc>
        <w:tc>
          <w:tcPr>
            <w:tcW w:w="1350" w:type="dxa"/>
            <w:tcBorders>
              <w:top w:val="single" w:sz="4" w:space="0" w:color="auto"/>
            </w:tcBorders>
          </w:tcPr>
          <w:p w:rsidR="00A81540" w:rsidRPr="00C340F5" w:rsidRDefault="00A81540" w:rsidP="00C340F5">
            <w:pPr>
              <w:pStyle w:val="NoSpacing"/>
              <w:rPr>
                <w:rFonts w:ascii="Palatino Linotype" w:hAnsi="Palatino Linotype"/>
              </w:rPr>
            </w:pPr>
            <w:r w:rsidRPr="00C340F5">
              <w:rPr>
                <w:rFonts w:ascii="Palatino Linotype" w:hAnsi="Palatino Linotype"/>
              </w:rPr>
              <w:t>0.04</w:t>
            </w:r>
          </w:p>
        </w:tc>
        <w:tc>
          <w:tcPr>
            <w:tcW w:w="1170" w:type="dxa"/>
            <w:tcBorders>
              <w:top w:val="single" w:sz="4" w:space="0" w:color="auto"/>
            </w:tcBorders>
          </w:tcPr>
          <w:p w:rsidR="00A81540" w:rsidRPr="00C340F5" w:rsidRDefault="00A81540" w:rsidP="00C340F5">
            <w:pPr>
              <w:pStyle w:val="NoSpacing"/>
              <w:rPr>
                <w:rFonts w:ascii="Palatino Linotype" w:hAnsi="Palatino Linotype"/>
              </w:rPr>
            </w:pPr>
            <w:r w:rsidRPr="00C340F5">
              <w:rPr>
                <w:rFonts w:ascii="Palatino Linotype" w:hAnsi="Palatino Linotype"/>
              </w:rPr>
              <w:t xml:space="preserve"> -3.00</w:t>
            </w:r>
          </w:p>
        </w:tc>
        <w:tc>
          <w:tcPr>
            <w:tcW w:w="1350" w:type="dxa"/>
            <w:tcBorders>
              <w:top w:val="single" w:sz="4" w:space="0" w:color="auto"/>
            </w:tcBorders>
          </w:tcPr>
          <w:p w:rsidR="00A81540" w:rsidRPr="00C340F5" w:rsidRDefault="00A81540" w:rsidP="00C340F5">
            <w:pPr>
              <w:pStyle w:val="NoSpacing"/>
              <w:rPr>
                <w:rFonts w:ascii="Palatino Linotype" w:hAnsi="Palatino Linotype"/>
              </w:rPr>
            </w:pPr>
            <w:r w:rsidRPr="00C340F5">
              <w:rPr>
                <w:rFonts w:ascii="Palatino Linotype" w:hAnsi="Palatino Linotype"/>
              </w:rPr>
              <w:t>0.00</w:t>
            </w:r>
          </w:p>
        </w:tc>
      </w:tr>
      <w:tr w:rsidR="00A81540" w:rsidRPr="00C340F5" w:rsidTr="00250B7E">
        <w:tc>
          <w:tcPr>
            <w:tcW w:w="2299" w:type="dxa"/>
          </w:tcPr>
          <w:p w:rsidR="00A81540" w:rsidRPr="00C340F5" w:rsidRDefault="00A81540" w:rsidP="00C340F5">
            <w:pPr>
              <w:pStyle w:val="NoSpacing"/>
              <w:rPr>
                <w:rFonts w:ascii="Palatino Linotype" w:hAnsi="Palatino Linotype"/>
              </w:rPr>
            </w:pPr>
            <w:r w:rsidRPr="00C340F5">
              <w:rPr>
                <w:rFonts w:ascii="Palatino Linotype" w:hAnsi="Palatino Linotype"/>
                <w:lang w:val="en-GB"/>
              </w:rPr>
              <w:t>∆</w:t>
            </w:r>
            <w:r w:rsidRPr="00C340F5">
              <w:rPr>
                <w:rFonts w:ascii="Palatino Linotype" w:hAnsi="Palatino Linotype"/>
              </w:rPr>
              <w:t>LINFR(-1)</w:t>
            </w:r>
          </w:p>
        </w:tc>
        <w:tc>
          <w:tcPr>
            <w:tcW w:w="1319" w:type="dxa"/>
            <w:gridSpan w:val="2"/>
          </w:tcPr>
          <w:p w:rsidR="00A81540" w:rsidRPr="00C340F5" w:rsidRDefault="00A81540" w:rsidP="00C340F5">
            <w:pPr>
              <w:pStyle w:val="NoSpacing"/>
              <w:rPr>
                <w:rFonts w:ascii="Palatino Linotype" w:hAnsi="Palatino Linotype"/>
              </w:rPr>
            </w:pPr>
            <w:r w:rsidRPr="00C340F5">
              <w:rPr>
                <w:rFonts w:ascii="Palatino Linotype" w:hAnsi="Palatino Linotype"/>
              </w:rPr>
              <w:t xml:space="preserve">  0.08</w:t>
            </w:r>
          </w:p>
        </w:tc>
        <w:tc>
          <w:tcPr>
            <w:tcW w:w="1350" w:type="dxa"/>
          </w:tcPr>
          <w:p w:rsidR="00A81540" w:rsidRPr="00C340F5" w:rsidRDefault="00A81540" w:rsidP="00C340F5">
            <w:pPr>
              <w:pStyle w:val="NoSpacing"/>
              <w:rPr>
                <w:rFonts w:ascii="Palatino Linotype" w:hAnsi="Palatino Linotype"/>
              </w:rPr>
            </w:pPr>
            <w:r w:rsidRPr="00C340F5">
              <w:rPr>
                <w:rFonts w:ascii="Palatino Linotype" w:hAnsi="Palatino Linotype"/>
              </w:rPr>
              <w:t>0.03</w:t>
            </w:r>
          </w:p>
        </w:tc>
        <w:tc>
          <w:tcPr>
            <w:tcW w:w="1170" w:type="dxa"/>
          </w:tcPr>
          <w:p w:rsidR="00A81540" w:rsidRPr="00C340F5" w:rsidRDefault="00A81540" w:rsidP="00C340F5">
            <w:pPr>
              <w:pStyle w:val="NoSpacing"/>
              <w:rPr>
                <w:rFonts w:ascii="Palatino Linotype" w:hAnsi="Palatino Linotype"/>
              </w:rPr>
            </w:pPr>
            <w:r w:rsidRPr="00C340F5">
              <w:rPr>
                <w:rFonts w:ascii="Palatino Linotype" w:hAnsi="Palatino Linotype"/>
              </w:rPr>
              <w:t>2.66</w:t>
            </w:r>
          </w:p>
        </w:tc>
        <w:tc>
          <w:tcPr>
            <w:tcW w:w="1350" w:type="dxa"/>
          </w:tcPr>
          <w:p w:rsidR="00A81540" w:rsidRPr="00C340F5" w:rsidRDefault="00A81540" w:rsidP="00C340F5">
            <w:pPr>
              <w:pStyle w:val="NoSpacing"/>
              <w:rPr>
                <w:rFonts w:ascii="Palatino Linotype" w:hAnsi="Palatino Linotype"/>
              </w:rPr>
            </w:pPr>
            <w:r w:rsidRPr="00C340F5">
              <w:rPr>
                <w:rFonts w:ascii="Palatino Linotype" w:hAnsi="Palatino Linotype"/>
              </w:rPr>
              <w:t>0.04</w:t>
            </w:r>
          </w:p>
        </w:tc>
      </w:tr>
      <w:tr w:rsidR="00A81540" w:rsidRPr="00C340F5" w:rsidTr="00250B7E">
        <w:tc>
          <w:tcPr>
            <w:tcW w:w="2299" w:type="dxa"/>
          </w:tcPr>
          <w:p w:rsidR="00A81540" w:rsidRPr="00C340F5" w:rsidRDefault="00A81540" w:rsidP="00C340F5">
            <w:pPr>
              <w:pStyle w:val="NoSpacing"/>
              <w:rPr>
                <w:rFonts w:ascii="Palatino Linotype" w:hAnsi="Palatino Linotype"/>
              </w:rPr>
            </w:pPr>
            <w:r w:rsidRPr="00C340F5">
              <w:rPr>
                <w:rFonts w:ascii="Palatino Linotype" w:hAnsi="Palatino Linotype"/>
                <w:lang w:val="en-GB"/>
              </w:rPr>
              <w:t>∆</w:t>
            </w:r>
            <w:r w:rsidRPr="00C340F5">
              <w:rPr>
                <w:rFonts w:ascii="Palatino Linotype" w:hAnsi="Palatino Linotype"/>
              </w:rPr>
              <w:t>LTRDP(-1)</w:t>
            </w:r>
          </w:p>
        </w:tc>
        <w:tc>
          <w:tcPr>
            <w:tcW w:w="1319" w:type="dxa"/>
            <w:gridSpan w:val="2"/>
          </w:tcPr>
          <w:p w:rsidR="00A81540" w:rsidRPr="00C340F5" w:rsidRDefault="00A81540" w:rsidP="00C340F5">
            <w:pPr>
              <w:pStyle w:val="NoSpacing"/>
              <w:rPr>
                <w:rFonts w:ascii="Palatino Linotype" w:hAnsi="Palatino Linotype"/>
              </w:rPr>
            </w:pPr>
            <w:r w:rsidRPr="00C340F5">
              <w:rPr>
                <w:rFonts w:ascii="Palatino Linotype" w:hAnsi="Palatino Linotype"/>
              </w:rPr>
              <w:t xml:space="preserve">  0.23</w:t>
            </w:r>
          </w:p>
        </w:tc>
        <w:tc>
          <w:tcPr>
            <w:tcW w:w="1350" w:type="dxa"/>
          </w:tcPr>
          <w:p w:rsidR="00A81540" w:rsidRPr="00C340F5" w:rsidRDefault="00A81540" w:rsidP="00C340F5">
            <w:pPr>
              <w:pStyle w:val="NoSpacing"/>
              <w:rPr>
                <w:rFonts w:ascii="Palatino Linotype" w:hAnsi="Palatino Linotype"/>
              </w:rPr>
            </w:pPr>
            <w:r w:rsidRPr="00C340F5">
              <w:rPr>
                <w:rFonts w:ascii="Palatino Linotype" w:hAnsi="Palatino Linotype"/>
              </w:rPr>
              <w:t>0.13</w:t>
            </w:r>
          </w:p>
        </w:tc>
        <w:tc>
          <w:tcPr>
            <w:tcW w:w="1170" w:type="dxa"/>
          </w:tcPr>
          <w:p w:rsidR="00A81540" w:rsidRPr="00C340F5" w:rsidRDefault="00A81540" w:rsidP="00C340F5">
            <w:pPr>
              <w:pStyle w:val="NoSpacing"/>
              <w:rPr>
                <w:rFonts w:ascii="Palatino Linotype" w:hAnsi="Palatino Linotype"/>
              </w:rPr>
            </w:pPr>
            <w:r w:rsidRPr="00C340F5">
              <w:rPr>
                <w:rFonts w:ascii="Palatino Linotype" w:hAnsi="Palatino Linotype"/>
              </w:rPr>
              <w:t xml:space="preserve">  1.76</w:t>
            </w:r>
          </w:p>
        </w:tc>
        <w:tc>
          <w:tcPr>
            <w:tcW w:w="1350" w:type="dxa"/>
          </w:tcPr>
          <w:p w:rsidR="00A81540" w:rsidRPr="00C340F5" w:rsidRDefault="00A81540" w:rsidP="00C340F5">
            <w:pPr>
              <w:pStyle w:val="NoSpacing"/>
              <w:rPr>
                <w:rFonts w:ascii="Palatino Linotype" w:hAnsi="Palatino Linotype"/>
              </w:rPr>
            </w:pPr>
            <w:r w:rsidRPr="00C340F5">
              <w:rPr>
                <w:rFonts w:ascii="Palatino Linotype" w:hAnsi="Palatino Linotype"/>
              </w:rPr>
              <w:t>0.07</w:t>
            </w:r>
          </w:p>
        </w:tc>
      </w:tr>
      <w:tr w:rsidR="00A81540" w:rsidRPr="00C340F5" w:rsidTr="00250B7E">
        <w:tc>
          <w:tcPr>
            <w:tcW w:w="2299" w:type="dxa"/>
          </w:tcPr>
          <w:p w:rsidR="00A81540" w:rsidRPr="00C340F5" w:rsidRDefault="00A81540" w:rsidP="00C340F5">
            <w:pPr>
              <w:pStyle w:val="NoSpacing"/>
              <w:rPr>
                <w:rFonts w:ascii="Palatino Linotype" w:hAnsi="Palatino Linotype"/>
              </w:rPr>
            </w:pPr>
            <w:r w:rsidRPr="00C340F5">
              <w:rPr>
                <w:rFonts w:ascii="Palatino Linotype" w:hAnsi="Palatino Linotype"/>
              </w:rPr>
              <w:t>ECM(-1)</w:t>
            </w:r>
          </w:p>
        </w:tc>
        <w:tc>
          <w:tcPr>
            <w:tcW w:w="1319" w:type="dxa"/>
            <w:gridSpan w:val="2"/>
          </w:tcPr>
          <w:p w:rsidR="00A81540" w:rsidRPr="00C340F5" w:rsidRDefault="00A81540" w:rsidP="00C340F5">
            <w:pPr>
              <w:pStyle w:val="NoSpacing"/>
              <w:rPr>
                <w:rFonts w:ascii="Palatino Linotype" w:hAnsi="Palatino Linotype"/>
              </w:rPr>
            </w:pPr>
            <w:r w:rsidRPr="00C340F5">
              <w:rPr>
                <w:rFonts w:ascii="Palatino Linotype" w:hAnsi="Palatino Linotype"/>
              </w:rPr>
              <w:t>-0.27</w:t>
            </w:r>
          </w:p>
        </w:tc>
        <w:tc>
          <w:tcPr>
            <w:tcW w:w="1350" w:type="dxa"/>
          </w:tcPr>
          <w:p w:rsidR="00A81540" w:rsidRPr="00C340F5" w:rsidRDefault="00A81540" w:rsidP="00C340F5">
            <w:pPr>
              <w:pStyle w:val="NoSpacing"/>
              <w:rPr>
                <w:rFonts w:ascii="Palatino Linotype" w:hAnsi="Palatino Linotype"/>
              </w:rPr>
            </w:pPr>
            <w:r w:rsidRPr="00C340F5">
              <w:rPr>
                <w:rFonts w:ascii="Palatino Linotype" w:hAnsi="Palatino Linotype"/>
              </w:rPr>
              <w:t>0.08</w:t>
            </w:r>
          </w:p>
        </w:tc>
        <w:tc>
          <w:tcPr>
            <w:tcW w:w="1170" w:type="dxa"/>
          </w:tcPr>
          <w:p w:rsidR="00A81540" w:rsidRPr="00C340F5" w:rsidRDefault="00A81540" w:rsidP="00C340F5">
            <w:pPr>
              <w:pStyle w:val="NoSpacing"/>
              <w:rPr>
                <w:rFonts w:ascii="Palatino Linotype" w:hAnsi="Palatino Linotype"/>
              </w:rPr>
            </w:pPr>
            <w:r w:rsidRPr="00C340F5">
              <w:rPr>
                <w:rFonts w:ascii="Palatino Linotype" w:hAnsi="Palatino Linotype"/>
              </w:rPr>
              <w:t>-3.38</w:t>
            </w:r>
          </w:p>
        </w:tc>
        <w:tc>
          <w:tcPr>
            <w:tcW w:w="1350" w:type="dxa"/>
          </w:tcPr>
          <w:p w:rsidR="00A81540" w:rsidRPr="00C340F5" w:rsidRDefault="00A81540" w:rsidP="00C340F5">
            <w:pPr>
              <w:pStyle w:val="NoSpacing"/>
              <w:rPr>
                <w:rFonts w:ascii="Palatino Linotype" w:hAnsi="Palatino Linotype"/>
              </w:rPr>
            </w:pPr>
            <w:r w:rsidRPr="00C340F5">
              <w:rPr>
                <w:rFonts w:ascii="Palatino Linotype" w:hAnsi="Palatino Linotype"/>
              </w:rPr>
              <w:t>0.00</w:t>
            </w:r>
          </w:p>
        </w:tc>
      </w:tr>
      <w:tr w:rsidR="00A81540" w:rsidRPr="00C340F5" w:rsidTr="00250B7E">
        <w:trPr>
          <w:trHeight w:val="250"/>
        </w:trPr>
        <w:tc>
          <w:tcPr>
            <w:tcW w:w="7488" w:type="dxa"/>
            <w:gridSpan w:val="6"/>
            <w:tcBorders>
              <w:bottom w:val="single" w:sz="4" w:space="0" w:color="auto"/>
            </w:tcBorders>
          </w:tcPr>
          <w:p w:rsidR="00A81540" w:rsidRPr="00C340F5" w:rsidRDefault="00A81540" w:rsidP="00C340F5">
            <w:pPr>
              <w:pStyle w:val="NoSpacing"/>
              <w:rPr>
                <w:rFonts w:ascii="Palatino Linotype" w:hAnsi="Palatino Linotype"/>
              </w:rPr>
            </w:pPr>
            <w:r w:rsidRPr="00C340F5">
              <w:rPr>
                <w:rFonts w:ascii="Palatino Linotype" w:hAnsi="Palatino Linotype"/>
              </w:rPr>
              <w:t>Diagnostic Test</w:t>
            </w:r>
          </w:p>
        </w:tc>
      </w:tr>
      <w:tr w:rsidR="00A81540" w:rsidRPr="00C340F5" w:rsidTr="00250B7E">
        <w:trPr>
          <w:trHeight w:val="304"/>
        </w:trPr>
        <w:tc>
          <w:tcPr>
            <w:tcW w:w="3438" w:type="dxa"/>
            <w:gridSpan w:val="2"/>
            <w:tcBorders>
              <w:bottom w:val="single" w:sz="4" w:space="0" w:color="auto"/>
              <w:right w:val="single" w:sz="4" w:space="0" w:color="auto"/>
            </w:tcBorders>
          </w:tcPr>
          <w:p w:rsidR="00A81540" w:rsidRPr="00C340F5" w:rsidRDefault="00A81540" w:rsidP="00C340F5">
            <w:pPr>
              <w:pStyle w:val="NoSpacing"/>
              <w:rPr>
                <w:rFonts w:ascii="Palatino Linotype" w:hAnsi="Palatino Linotype"/>
              </w:rPr>
            </w:pPr>
            <w:r w:rsidRPr="00C340F5">
              <w:rPr>
                <w:rFonts w:ascii="Palatino Linotype" w:hAnsi="Palatino Linotype"/>
              </w:rPr>
              <w:t xml:space="preserve"> R</w:t>
            </w:r>
            <w:r w:rsidRPr="00C340F5">
              <w:rPr>
                <w:rFonts w:ascii="Palatino Linotype" w:hAnsi="Palatino Linotype"/>
                <w:vertAlign w:val="superscript"/>
              </w:rPr>
              <w:t>2</w:t>
            </w:r>
          </w:p>
        </w:tc>
        <w:tc>
          <w:tcPr>
            <w:tcW w:w="4050" w:type="dxa"/>
            <w:gridSpan w:val="4"/>
            <w:tcBorders>
              <w:left w:val="single" w:sz="4" w:space="0" w:color="auto"/>
              <w:bottom w:val="single" w:sz="4" w:space="0" w:color="auto"/>
            </w:tcBorders>
          </w:tcPr>
          <w:p w:rsidR="00A81540" w:rsidRPr="00C340F5" w:rsidRDefault="00A81540" w:rsidP="00C340F5">
            <w:pPr>
              <w:pStyle w:val="NoSpacing"/>
              <w:rPr>
                <w:rFonts w:ascii="Palatino Linotype" w:hAnsi="Palatino Linotype"/>
              </w:rPr>
            </w:pPr>
            <w:r w:rsidRPr="00C340F5">
              <w:rPr>
                <w:rFonts w:ascii="Palatino Linotype" w:hAnsi="Palatino Linotype"/>
              </w:rPr>
              <w:t>0.62</w:t>
            </w:r>
          </w:p>
        </w:tc>
      </w:tr>
      <w:tr w:rsidR="00A81540" w:rsidRPr="00C340F5" w:rsidTr="00250B7E">
        <w:trPr>
          <w:trHeight w:val="203"/>
        </w:trPr>
        <w:tc>
          <w:tcPr>
            <w:tcW w:w="3438" w:type="dxa"/>
            <w:gridSpan w:val="2"/>
            <w:tcBorders>
              <w:top w:val="single" w:sz="4" w:space="0" w:color="auto"/>
              <w:bottom w:val="single" w:sz="4" w:space="0" w:color="auto"/>
              <w:right w:val="single" w:sz="4" w:space="0" w:color="auto"/>
            </w:tcBorders>
          </w:tcPr>
          <w:p w:rsidR="00A81540" w:rsidRPr="00C340F5" w:rsidRDefault="00A81540" w:rsidP="00C340F5">
            <w:pPr>
              <w:pStyle w:val="NoSpacing"/>
              <w:rPr>
                <w:rFonts w:ascii="Palatino Linotype" w:hAnsi="Palatino Linotype"/>
              </w:rPr>
            </w:pPr>
            <w:r w:rsidRPr="00C340F5">
              <w:rPr>
                <w:rFonts w:ascii="Palatino Linotype" w:hAnsi="Palatino Linotype"/>
              </w:rPr>
              <w:t xml:space="preserve">DW </w:t>
            </w:r>
          </w:p>
        </w:tc>
        <w:tc>
          <w:tcPr>
            <w:tcW w:w="4050" w:type="dxa"/>
            <w:gridSpan w:val="4"/>
            <w:tcBorders>
              <w:top w:val="single" w:sz="4" w:space="0" w:color="auto"/>
              <w:left w:val="single" w:sz="4" w:space="0" w:color="auto"/>
              <w:bottom w:val="single" w:sz="4" w:space="0" w:color="auto"/>
            </w:tcBorders>
          </w:tcPr>
          <w:p w:rsidR="00A81540" w:rsidRPr="00C340F5" w:rsidRDefault="00A81540" w:rsidP="00C340F5">
            <w:pPr>
              <w:pStyle w:val="NoSpacing"/>
              <w:rPr>
                <w:rFonts w:ascii="Palatino Linotype" w:hAnsi="Palatino Linotype"/>
              </w:rPr>
            </w:pPr>
            <w:r w:rsidRPr="00C340F5">
              <w:rPr>
                <w:rFonts w:ascii="Palatino Linotype" w:hAnsi="Palatino Linotype"/>
              </w:rPr>
              <w:t>2.03</w:t>
            </w:r>
          </w:p>
        </w:tc>
      </w:tr>
      <w:tr w:rsidR="00A81540" w:rsidRPr="00C340F5" w:rsidTr="00250B7E">
        <w:trPr>
          <w:trHeight w:val="109"/>
        </w:trPr>
        <w:tc>
          <w:tcPr>
            <w:tcW w:w="3438" w:type="dxa"/>
            <w:gridSpan w:val="2"/>
            <w:tcBorders>
              <w:top w:val="single" w:sz="4" w:space="0" w:color="auto"/>
              <w:bottom w:val="single" w:sz="4" w:space="0" w:color="auto"/>
              <w:right w:val="single" w:sz="4" w:space="0" w:color="auto"/>
            </w:tcBorders>
          </w:tcPr>
          <w:p w:rsidR="00A81540" w:rsidRPr="00C340F5" w:rsidRDefault="00A81540" w:rsidP="00C340F5">
            <w:pPr>
              <w:pStyle w:val="NoSpacing"/>
              <w:rPr>
                <w:rFonts w:ascii="Palatino Linotype" w:hAnsi="Palatino Linotype"/>
              </w:rPr>
            </w:pPr>
            <w:r w:rsidRPr="00C340F5">
              <w:rPr>
                <w:rFonts w:ascii="Palatino Linotype" w:hAnsi="Palatino Linotype"/>
              </w:rPr>
              <w:t xml:space="preserve">F-stat </w:t>
            </w:r>
          </w:p>
        </w:tc>
        <w:tc>
          <w:tcPr>
            <w:tcW w:w="4050" w:type="dxa"/>
            <w:gridSpan w:val="4"/>
            <w:tcBorders>
              <w:top w:val="single" w:sz="4" w:space="0" w:color="auto"/>
              <w:left w:val="single" w:sz="4" w:space="0" w:color="auto"/>
              <w:bottom w:val="single" w:sz="4" w:space="0" w:color="auto"/>
            </w:tcBorders>
          </w:tcPr>
          <w:p w:rsidR="00A81540" w:rsidRPr="00C340F5" w:rsidRDefault="00A81540" w:rsidP="00C340F5">
            <w:pPr>
              <w:pStyle w:val="NoSpacing"/>
              <w:rPr>
                <w:rFonts w:ascii="Palatino Linotype" w:hAnsi="Palatino Linotype"/>
              </w:rPr>
            </w:pPr>
            <w:r w:rsidRPr="00C340F5">
              <w:rPr>
                <w:rFonts w:ascii="Palatino Linotype" w:hAnsi="Palatino Linotype"/>
              </w:rPr>
              <w:t>3.11</w:t>
            </w:r>
          </w:p>
        </w:tc>
      </w:tr>
      <w:tr w:rsidR="00A81540" w:rsidRPr="00C340F5" w:rsidTr="00250B7E">
        <w:tc>
          <w:tcPr>
            <w:tcW w:w="3438" w:type="dxa"/>
            <w:gridSpan w:val="2"/>
            <w:tcBorders>
              <w:right w:val="single" w:sz="4" w:space="0" w:color="auto"/>
            </w:tcBorders>
          </w:tcPr>
          <w:p w:rsidR="00A81540" w:rsidRPr="00C340F5" w:rsidRDefault="00A81540" w:rsidP="00C340F5">
            <w:pPr>
              <w:pStyle w:val="NoSpacing"/>
              <w:rPr>
                <w:rFonts w:ascii="Palatino Linotype" w:hAnsi="Palatino Linotype"/>
              </w:rPr>
            </w:pPr>
            <w:r w:rsidRPr="00C340F5">
              <w:rPr>
                <w:rFonts w:ascii="Palatino Linotype" w:hAnsi="Palatino Linotype"/>
              </w:rPr>
              <w:t>Serial correlation LM F-test</w:t>
            </w:r>
          </w:p>
        </w:tc>
        <w:tc>
          <w:tcPr>
            <w:tcW w:w="4050" w:type="dxa"/>
            <w:gridSpan w:val="4"/>
            <w:tcBorders>
              <w:left w:val="single" w:sz="4" w:space="0" w:color="auto"/>
            </w:tcBorders>
          </w:tcPr>
          <w:p w:rsidR="00A81540" w:rsidRPr="00C340F5" w:rsidRDefault="00A81540" w:rsidP="00C340F5">
            <w:pPr>
              <w:pStyle w:val="NoSpacing"/>
              <w:rPr>
                <w:rFonts w:ascii="Palatino Linotype" w:hAnsi="Palatino Linotype"/>
              </w:rPr>
            </w:pPr>
            <w:r w:rsidRPr="00C340F5">
              <w:rPr>
                <w:rFonts w:ascii="Palatino Linotype" w:hAnsi="Palatino Linotype"/>
              </w:rPr>
              <w:t>0.32(0.54)</w:t>
            </w:r>
          </w:p>
        </w:tc>
      </w:tr>
      <w:tr w:rsidR="00A81540" w:rsidRPr="00C340F5" w:rsidTr="00250B7E">
        <w:tc>
          <w:tcPr>
            <w:tcW w:w="3438" w:type="dxa"/>
            <w:gridSpan w:val="2"/>
            <w:tcBorders>
              <w:right w:val="single" w:sz="4" w:space="0" w:color="auto"/>
            </w:tcBorders>
          </w:tcPr>
          <w:p w:rsidR="00A81540" w:rsidRPr="00C340F5" w:rsidRDefault="00A81540" w:rsidP="00C340F5">
            <w:pPr>
              <w:pStyle w:val="NoSpacing"/>
              <w:rPr>
                <w:rFonts w:ascii="Palatino Linotype" w:hAnsi="Palatino Linotype"/>
              </w:rPr>
            </w:pPr>
            <w:r w:rsidRPr="00C340F5">
              <w:rPr>
                <w:rFonts w:ascii="Palatino Linotype" w:hAnsi="Palatino Linotype"/>
              </w:rPr>
              <w:t>ARCH LM F-test</w:t>
            </w:r>
          </w:p>
        </w:tc>
        <w:tc>
          <w:tcPr>
            <w:tcW w:w="4050" w:type="dxa"/>
            <w:gridSpan w:val="4"/>
            <w:tcBorders>
              <w:left w:val="single" w:sz="4" w:space="0" w:color="auto"/>
            </w:tcBorders>
          </w:tcPr>
          <w:p w:rsidR="00A81540" w:rsidRPr="00C340F5" w:rsidRDefault="00A81540" w:rsidP="00C340F5">
            <w:pPr>
              <w:pStyle w:val="NoSpacing"/>
              <w:rPr>
                <w:rFonts w:ascii="Palatino Linotype" w:hAnsi="Palatino Linotype"/>
              </w:rPr>
            </w:pPr>
            <w:r w:rsidRPr="00C340F5">
              <w:rPr>
                <w:rFonts w:ascii="Palatino Linotype" w:hAnsi="Palatino Linotype"/>
              </w:rPr>
              <w:t>0.23(0.72)</w:t>
            </w:r>
          </w:p>
        </w:tc>
      </w:tr>
    </w:tbl>
    <w:p w:rsidR="00A81540" w:rsidRDefault="00A81540" w:rsidP="00C340F5">
      <w:pPr>
        <w:pStyle w:val="NoSpacing"/>
        <w:rPr>
          <w:rFonts w:ascii="Palatino Linotype" w:hAnsi="Palatino Linotype"/>
          <w:bCs/>
          <w:i/>
        </w:rPr>
      </w:pPr>
      <w:r w:rsidRPr="00C340F5">
        <w:rPr>
          <w:rFonts w:ascii="Palatino Linotype" w:hAnsi="Palatino Linotype"/>
          <w:bCs/>
          <w:i/>
        </w:rPr>
        <w:t xml:space="preserve">Source: Author’s computation using </w:t>
      </w:r>
      <w:proofErr w:type="spellStart"/>
      <w:r w:rsidRPr="00C340F5">
        <w:rPr>
          <w:rFonts w:ascii="Palatino Linotype" w:hAnsi="Palatino Linotype"/>
          <w:bCs/>
          <w:i/>
        </w:rPr>
        <w:t>Eview</w:t>
      </w:r>
      <w:proofErr w:type="spellEnd"/>
      <w:r w:rsidRPr="00C340F5">
        <w:rPr>
          <w:rFonts w:ascii="Palatino Linotype" w:hAnsi="Palatino Linotype"/>
          <w:bCs/>
          <w:i/>
        </w:rPr>
        <w:t xml:space="preserve"> 9.0</w:t>
      </w:r>
    </w:p>
    <w:p w:rsidR="009E21FA" w:rsidRPr="00C340F5" w:rsidRDefault="009E21FA" w:rsidP="00C340F5">
      <w:pPr>
        <w:pStyle w:val="NoSpacing"/>
        <w:rPr>
          <w:rFonts w:ascii="Palatino Linotype" w:hAnsi="Palatino Linotype"/>
          <w:bCs/>
          <w:i/>
        </w:rPr>
      </w:pPr>
    </w:p>
    <w:p w:rsidR="00A81540" w:rsidRDefault="00A81540" w:rsidP="00C340F5">
      <w:pPr>
        <w:spacing w:after="0" w:line="240" w:lineRule="auto"/>
        <w:jc w:val="both"/>
        <w:rPr>
          <w:rFonts w:ascii="Palatino Linotype" w:eastAsiaTheme="minorHAnsi" w:hAnsi="Palatino Linotype"/>
        </w:rPr>
      </w:pPr>
      <w:r w:rsidRPr="00C340F5">
        <w:rPr>
          <w:rFonts w:ascii="Palatino Linotype" w:eastAsiaTheme="minorHAnsi" w:hAnsi="Palatino Linotype"/>
        </w:rPr>
        <w:t xml:space="preserve">The tests indicate that the model passes the diagnostic tests and is satisfactory. Accordingly, Table 5 reveals that only trade openness is statistically insignificant in the short run whilst other variables such as the first lag of GDP, external reserves, exchange rate and inflation rate are statistically significant in explaining changes in economic growth in Nigeria. However, </w:t>
      </w:r>
      <w:r w:rsidRPr="00C340F5">
        <w:rPr>
          <w:rFonts w:ascii="Palatino Linotype" w:eastAsiaTheme="minorHAnsi" w:hAnsi="Palatino Linotype"/>
        </w:rPr>
        <w:lastRenderedPageBreak/>
        <w:t xml:space="preserve">the impact of the exchange rate on economic growth is negative. For instance, a unit increase in external reserves increases economic growth by 0.22% why a 1% increase in exchange rate led to a 0.10% decrease in economic growth in the period under review. </w:t>
      </w:r>
      <w:proofErr w:type="spellStart"/>
      <w:r w:rsidRPr="00C340F5">
        <w:rPr>
          <w:rFonts w:ascii="Palatino Linotype" w:eastAsiaTheme="minorHAnsi" w:hAnsi="Palatino Linotype"/>
        </w:rPr>
        <w:t>Abdullateef</w:t>
      </w:r>
      <w:proofErr w:type="spellEnd"/>
      <w:r w:rsidRPr="00C340F5">
        <w:rPr>
          <w:rFonts w:ascii="Palatino Linotype" w:eastAsiaTheme="minorHAnsi" w:hAnsi="Palatino Linotype"/>
        </w:rPr>
        <w:t xml:space="preserve"> and </w:t>
      </w:r>
      <w:proofErr w:type="spellStart"/>
      <w:r w:rsidRPr="00C340F5">
        <w:rPr>
          <w:rFonts w:ascii="Palatino Linotype" w:eastAsiaTheme="minorHAnsi" w:hAnsi="Palatino Linotype"/>
        </w:rPr>
        <w:t>Waheed</w:t>
      </w:r>
      <w:proofErr w:type="spellEnd"/>
      <w:r w:rsidRPr="00C340F5">
        <w:rPr>
          <w:rFonts w:ascii="Palatino Linotype" w:eastAsiaTheme="minorHAnsi" w:hAnsi="Palatino Linotype"/>
        </w:rPr>
        <w:t xml:space="preserve"> (2010), </w:t>
      </w:r>
      <w:proofErr w:type="spellStart"/>
      <w:r w:rsidRPr="00C340F5">
        <w:rPr>
          <w:rFonts w:ascii="Palatino Linotype" w:eastAsiaTheme="minorHAnsi" w:hAnsi="Palatino Linotype"/>
        </w:rPr>
        <w:t>Umeora</w:t>
      </w:r>
      <w:proofErr w:type="spellEnd"/>
      <w:r w:rsidRPr="00C340F5">
        <w:rPr>
          <w:rFonts w:ascii="Palatino Linotype" w:eastAsiaTheme="minorHAnsi" w:hAnsi="Palatino Linotype"/>
        </w:rPr>
        <w:t xml:space="preserve"> (2013), </w:t>
      </w:r>
      <w:proofErr w:type="spellStart"/>
      <w:r w:rsidRPr="00C340F5">
        <w:rPr>
          <w:rFonts w:ascii="Palatino Linotype" w:eastAsiaTheme="minorHAnsi" w:hAnsi="Palatino Linotype"/>
        </w:rPr>
        <w:t>Akinboyo</w:t>
      </w:r>
      <w:proofErr w:type="spellEnd"/>
      <w:r w:rsidRPr="00C340F5">
        <w:rPr>
          <w:rFonts w:ascii="Palatino Linotype" w:eastAsiaTheme="minorHAnsi" w:hAnsi="Palatino Linotype"/>
        </w:rPr>
        <w:t xml:space="preserve"> et al (2016) and </w:t>
      </w:r>
      <w:proofErr w:type="spellStart"/>
      <w:r w:rsidRPr="00C340F5">
        <w:rPr>
          <w:rFonts w:ascii="Palatino Linotype" w:eastAsiaTheme="minorHAnsi" w:hAnsi="Palatino Linotype"/>
        </w:rPr>
        <w:t>Akinbobola</w:t>
      </w:r>
      <w:proofErr w:type="spellEnd"/>
      <w:r w:rsidRPr="00C340F5">
        <w:rPr>
          <w:rFonts w:ascii="Palatino Linotype" w:eastAsiaTheme="minorHAnsi" w:hAnsi="Palatino Linotype"/>
        </w:rPr>
        <w:t xml:space="preserve"> (2020) had earlier reached similar findings.</w:t>
      </w:r>
    </w:p>
    <w:p w:rsidR="009E21FA" w:rsidRPr="00C340F5" w:rsidRDefault="009E21FA" w:rsidP="00C340F5">
      <w:pPr>
        <w:spacing w:after="0" w:line="240" w:lineRule="auto"/>
        <w:jc w:val="both"/>
        <w:rPr>
          <w:rFonts w:ascii="Palatino Linotype" w:eastAsiaTheme="minorHAnsi" w:hAnsi="Palatino Linotype"/>
          <w:b/>
        </w:rPr>
      </w:pPr>
    </w:p>
    <w:p w:rsidR="00A81540" w:rsidRPr="00C340F5" w:rsidRDefault="00A81540" w:rsidP="00C340F5">
      <w:pPr>
        <w:spacing w:after="0" w:line="240" w:lineRule="auto"/>
        <w:jc w:val="both"/>
        <w:rPr>
          <w:rFonts w:ascii="Palatino Linotype" w:eastAsiaTheme="minorHAnsi" w:hAnsi="Palatino Linotype"/>
          <w:b/>
        </w:rPr>
      </w:pPr>
      <w:r w:rsidRPr="00C340F5">
        <w:rPr>
          <w:rFonts w:ascii="Palatino Linotype" w:eastAsiaTheme="minorHAnsi" w:hAnsi="Palatino Linotype"/>
          <w:b/>
        </w:rPr>
        <w:t>Fig 2: CUSUM Test</w:t>
      </w:r>
    </w:p>
    <w:p w:rsidR="00A81540" w:rsidRDefault="00A81540" w:rsidP="00C340F5">
      <w:pPr>
        <w:spacing w:after="0" w:line="240" w:lineRule="auto"/>
        <w:jc w:val="both"/>
        <w:rPr>
          <w:rFonts w:ascii="Palatino Linotype" w:eastAsiaTheme="minorHAnsi" w:hAnsi="Palatino Linotype"/>
        </w:rPr>
      </w:pPr>
      <w:r w:rsidRPr="00C340F5">
        <w:rPr>
          <w:rFonts w:ascii="Palatino Linotype" w:eastAsiaTheme="minorHAnsi" w:hAnsi="Palatino Linotype"/>
          <w:noProof/>
        </w:rPr>
        <w:drawing>
          <wp:inline distT="0" distB="0" distL="0" distR="0" wp14:anchorId="7E299327" wp14:editId="1BFF3DB9">
            <wp:extent cx="4200525" cy="1328420"/>
            <wp:effectExtent l="0" t="0" r="952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4212058" cy="1332067"/>
                    </a:xfrm>
                    <a:prstGeom prst="rect">
                      <a:avLst/>
                    </a:prstGeom>
                    <a:noFill/>
                    <a:ln>
                      <a:noFill/>
                    </a:ln>
                  </pic:spPr>
                </pic:pic>
              </a:graphicData>
            </a:graphic>
          </wp:inline>
        </w:drawing>
      </w:r>
    </w:p>
    <w:p w:rsidR="009E21FA" w:rsidRPr="00C340F5" w:rsidRDefault="009E21FA" w:rsidP="00C340F5">
      <w:pPr>
        <w:spacing w:after="0" w:line="240" w:lineRule="auto"/>
        <w:jc w:val="both"/>
        <w:rPr>
          <w:rFonts w:ascii="Palatino Linotype" w:eastAsiaTheme="minorHAnsi" w:hAnsi="Palatino Linotype"/>
        </w:rPr>
      </w:pPr>
    </w:p>
    <w:p w:rsidR="00A81540" w:rsidRDefault="00A81540" w:rsidP="00C340F5">
      <w:pPr>
        <w:spacing w:after="0" w:line="240" w:lineRule="auto"/>
        <w:jc w:val="both"/>
        <w:rPr>
          <w:rFonts w:ascii="Palatino Linotype" w:hAnsi="Palatino Linotype"/>
        </w:rPr>
      </w:pPr>
      <w:r w:rsidRPr="00C340F5">
        <w:rPr>
          <w:rFonts w:ascii="Palatino Linotype" w:hAnsi="Palatino Linotype"/>
        </w:rPr>
        <w:t>In the long run, the impact of all the explanatory variables on economic growth is significant in that the ECM which is the residual from the long-run model is significant. This is what is expected if there is a co-integration between the dependent and explanatory variables. The magnitude of this coefficient implies that it takes approximately a speed of about 27%</w:t>
      </w:r>
      <w:r w:rsidRPr="00C340F5">
        <w:rPr>
          <w:rFonts w:ascii="Palatino Linotype" w:eastAsia="Times New Roman" w:hAnsi="Palatino Linotype"/>
        </w:rPr>
        <w:t xml:space="preserve"> for any disequilibrium between economic growth and external reserves inclusive of other explanatory variables to be corrected within a year. Observably, the ECM is dynamically stable as t</w:t>
      </w:r>
      <w:r w:rsidRPr="00C340F5">
        <w:rPr>
          <w:rFonts w:ascii="Palatino Linotype" w:hAnsi="Palatino Linotype"/>
        </w:rPr>
        <w:t>he plots of CUSUM) lie within the 5% critical bounds thereby confirming the stability of the model.</w:t>
      </w:r>
    </w:p>
    <w:p w:rsidR="009E21FA" w:rsidRPr="00C340F5" w:rsidRDefault="009E21FA" w:rsidP="00C340F5">
      <w:pPr>
        <w:spacing w:after="0" w:line="240" w:lineRule="auto"/>
        <w:jc w:val="both"/>
        <w:rPr>
          <w:rFonts w:ascii="Palatino Linotype" w:eastAsia="Times New Roman" w:hAnsi="Palatino Linotype"/>
        </w:rPr>
      </w:pPr>
    </w:p>
    <w:p w:rsidR="00A81540" w:rsidRPr="00C340F5" w:rsidRDefault="00A81540" w:rsidP="00C340F5">
      <w:pPr>
        <w:spacing w:after="0" w:line="240" w:lineRule="auto"/>
        <w:jc w:val="both"/>
        <w:rPr>
          <w:rFonts w:ascii="Palatino Linotype" w:eastAsia="Times New Roman" w:hAnsi="Palatino Linotype"/>
          <w:b/>
        </w:rPr>
      </w:pPr>
      <w:r w:rsidRPr="00C340F5">
        <w:rPr>
          <w:rFonts w:ascii="Palatino Linotype" w:eastAsia="Times New Roman" w:hAnsi="Palatino Linotype"/>
          <w:b/>
        </w:rPr>
        <w:t>5.  Concluding Remarks</w:t>
      </w:r>
    </w:p>
    <w:p w:rsidR="00A81540" w:rsidRDefault="00A81540" w:rsidP="00C340F5">
      <w:pPr>
        <w:spacing w:after="0" w:line="240" w:lineRule="auto"/>
        <w:jc w:val="both"/>
        <w:rPr>
          <w:rFonts w:ascii="Palatino Linotype" w:eastAsia="Times New Roman" w:hAnsi="Palatino Linotype"/>
        </w:rPr>
      </w:pPr>
      <w:r w:rsidRPr="00C340F5">
        <w:rPr>
          <w:rFonts w:ascii="Palatino Linotype" w:eastAsia="Times New Roman" w:hAnsi="Palatino Linotype"/>
        </w:rPr>
        <w:t>The study examines how variation in external reserves affects economic growth in Nigeria, using data covering 1986-2020. To have robust findings other macroeconomic variables such as exchange rate, inflation rate and trade openness were added to the model. The study uses descriptive and econometric analysis. Among other things, it was observed by the study that external reserves are a key determinant of economic growth in Nigeria during the period of review. This is because external reserves form part of the money supply which is one aspect through which the government fine-turns the economy. The other aspect is fiscal policy. As was noted in Table 1 Fig 1, the performance of the economy is to a larger extent dictated by the availability of foreign reserves which affects the exchange rate. Therefore, it is recommended that government should spear no effort to shun up its external reserves. Also, the government must avoid a situation of exchange rate misalignment while the inflation rate must be controlled within a single digit.</w:t>
      </w:r>
    </w:p>
    <w:p w:rsidR="009E21FA" w:rsidRPr="00C340F5" w:rsidRDefault="009E21FA" w:rsidP="00C340F5">
      <w:pPr>
        <w:spacing w:after="0" w:line="240" w:lineRule="auto"/>
        <w:jc w:val="both"/>
        <w:rPr>
          <w:rFonts w:ascii="Palatino Linotype" w:eastAsiaTheme="minorHAnsi" w:hAnsi="Palatino Linotype"/>
        </w:rPr>
      </w:pPr>
    </w:p>
    <w:p w:rsidR="00A81540" w:rsidRPr="00C340F5" w:rsidRDefault="00A81540" w:rsidP="00C340F5">
      <w:pPr>
        <w:spacing w:after="0" w:line="240" w:lineRule="auto"/>
        <w:jc w:val="both"/>
        <w:rPr>
          <w:rFonts w:ascii="Palatino Linotype" w:eastAsiaTheme="minorHAnsi" w:hAnsi="Palatino Linotype"/>
          <w:b/>
        </w:rPr>
      </w:pPr>
      <w:r w:rsidRPr="00C340F5">
        <w:rPr>
          <w:rFonts w:ascii="Palatino Linotype" w:eastAsiaTheme="minorHAnsi" w:hAnsi="Palatino Linotype"/>
          <w:b/>
        </w:rPr>
        <w:t>References</w:t>
      </w:r>
    </w:p>
    <w:p w:rsidR="00A81540" w:rsidRPr="00C340F5" w:rsidRDefault="00A81540" w:rsidP="009E21FA">
      <w:pPr>
        <w:spacing w:after="0" w:line="240" w:lineRule="auto"/>
        <w:ind w:left="720" w:hanging="720"/>
        <w:jc w:val="both"/>
        <w:rPr>
          <w:rFonts w:ascii="Palatino Linotype" w:eastAsiaTheme="minorHAnsi" w:hAnsi="Palatino Linotype"/>
        </w:rPr>
      </w:pPr>
      <w:proofErr w:type="spellStart"/>
      <w:r w:rsidRPr="00C340F5">
        <w:rPr>
          <w:rFonts w:ascii="Palatino Linotype" w:eastAsiaTheme="minorHAnsi" w:hAnsi="Palatino Linotype"/>
        </w:rPr>
        <w:t>Abdullateef</w:t>
      </w:r>
      <w:proofErr w:type="spellEnd"/>
      <w:r w:rsidRPr="00C340F5">
        <w:rPr>
          <w:rFonts w:ascii="Palatino Linotype" w:eastAsiaTheme="minorHAnsi" w:hAnsi="Palatino Linotype"/>
        </w:rPr>
        <w:t>, U. &amp;</w:t>
      </w:r>
      <w:proofErr w:type="spellStart"/>
      <w:r w:rsidRPr="00C340F5">
        <w:rPr>
          <w:rFonts w:ascii="Palatino Linotype" w:eastAsiaTheme="minorHAnsi" w:hAnsi="Palatino Linotype"/>
        </w:rPr>
        <w:t>Waheed</w:t>
      </w:r>
      <w:proofErr w:type="spellEnd"/>
      <w:r w:rsidRPr="00C340F5">
        <w:rPr>
          <w:rFonts w:ascii="Palatino Linotype" w:eastAsiaTheme="minorHAnsi" w:hAnsi="Palatino Linotype"/>
        </w:rPr>
        <w:t xml:space="preserve">, I. (2010). External reserve holdings in Nigeria: Implications for investment, inflation and exchange rate. </w:t>
      </w:r>
      <w:r w:rsidRPr="00C340F5">
        <w:rPr>
          <w:rFonts w:ascii="Palatino Linotype" w:eastAsiaTheme="minorHAnsi" w:hAnsi="Palatino Linotype"/>
          <w:i/>
        </w:rPr>
        <w:t>Journal of Econo</w:t>
      </w:r>
      <w:r w:rsidR="009E21FA">
        <w:rPr>
          <w:rFonts w:ascii="Palatino Linotype" w:eastAsiaTheme="minorHAnsi" w:hAnsi="Palatino Linotype"/>
          <w:i/>
        </w:rPr>
        <w:t xml:space="preserve">mics and International Finance </w:t>
      </w:r>
      <w:r w:rsidRPr="00C340F5">
        <w:rPr>
          <w:rFonts w:ascii="Palatino Linotype" w:eastAsiaTheme="minorHAnsi" w:hAnsi="Palatino Linotype"/>
          <w:i/>
        </w:rPr>
        <w:t>2</w:t>
      </w:r>
      <w:r w:rsidRPr="00C340F5">
        <w:rPr>
          <w:rFonts w:ascii="Palatino Linotype" w:eastAsiaTheme="minorHAnsi" w:hAnsi="Palatino Linotype"/>
        </w:rPr>
        <w:t>(9): 183-189.</w:t>
      </w:r>
    </w:p>
    <w:p w:rsidR="00A81540" w:rsidRPr="00C340F5" w:rsidRDefault="00A81540" w:rsidP="009E21FA">
      <w:pPr>
        <w:spacing w:after="0" w:line="240" w:lineRule="auto"/>
        <w:ind w:left="720" w:hanging="720"/>
        <w:jc w:val="both"/>
        <w:rPr>
          <w:rFonts w:ascii="Palatino Linotype" w:eastAsiaTheme="minorHAnsi" w:hAnsi="Palatino Linotype"/>
        </w:rPr>
      </w:pPr>
      <w:proofErr w:type="spellStart"/>
      <w:r w:rsidRPr="00C340F5">
        <w:rPr>
          <w:rFonts w:ascii="Palatino Linotype" w:eastAsiaTheme="minorHAnsi" w:hAnsi="Palatino Linotype"/>
        </w:rPr>
        <w:t>Abere</w:t>
      </w:r>
      <w:proofErr w:type="spellEnd"/>
      <w:r w:rsidRPr="00C340F5">
        <w:rPr>
          <w:rFonts w:ascii="Palatino Linotype" w:eastAsiaTheme="minorHAnsi" w:hAnsi="Palatino Linotype"/>
        </w:rPr>
        <w:t>, S.S.  &amp;</w:t>
      </w:r>
      <w:proofErr w:type="spellStart"/>
      <w:r w:rsidRPr="00C340F5">
        <w:rPr>
          <w:rFonts w:ascii="Palatino Linotype" w:eastAsiaTheme="minorHAnsi" w:hAnsi="Palatino Linotype"/>
        </w:rPr>
        <w:t>Akinbobola</w:t>
      </w:r>
      <w:proofErr w:type="spellEnd"/>
      <w:r w:rsidRPr="00C340F5">
        <w:rPr>
          <w:rFonts w:ascii="Palatino Linotype" w:eastAsiaTheme="minorHAnsi" w:hAnsi="Palatino Linotype"/>
        </w:rPr>
        <w:t xml:space="preserve">, T.O. (2020). External shocks, institutional quality and macroeconomic performance in Nigeria. </w:t>
      </w:r>
      <w:r w:rsidRPr="00C340F5">
        <w:rPr>
          <w:rFonts w:ascii="Palatino Linotype" w:eastAsiaTheme="minorHAnsi" w:hAnsi="Palatino Linotype"/>
          <w:i/>
        </w:rPr>
        <w:t>SAGE Open</w:t>
      </w:r>
      <w:r w:rsidR="009E21FA">
        <w:rPr>
          <w:rFonts w:ascii="Palatino Linotype" w:eastAsiaTheme="minorHAnsi" w:hAnsi="Palatino Linotype"/>
        </w:rPr>
        <w:t xml:space="preserve">, 1-18. Available at: </w:t>
      </w:r>
      <w:hyperlink r:id="rId22" w:history="1">
        <w:r w:rsidRPr="00C340F5">
          <w:rPr>
            <w:rFonts w:ascii="Palatino Linotype" w:eastAsiaTheme="minorHAnsi" w:hAnsi="Palatino Linotype"/>
            <w:color w:val="0563C1" w:themeColor="hyperlink"/>
            <w:u w:val="single"/>
          </w:rPr>
          <w:t>https://www.journals.sagepub.com/home/sgo</w:t>
        </w:r>
      </w:hyperlink>
      <w:r w:rsidRPr="00C340F5">
        <w:rPr>
          <w:rFonts w:ascii="Palatino Linotype" w:eastAsiaTheme="minorHAnsi" w:hAnsi="Palatino Linotype"/>
        </w:rPr>
        <w:t>. DOI: 10.1177/2158244020919518</w:t>
      </w:r>
    </w:p>
    <w:p w:rsidR="00A81540" w:rsidRPr="00C340F5" w:rsidRDefault="00A81540" w:rsidP="009E21FA">
      <w:pPr>
        <w:spacing w:after="0" w:line="240" w:lineRule="auto"/>
        <w:ind w:left="720" w:hanging="720"/>
        <w:jc w:val="both"/>
        <w:rPr>
          <w:rFonts w:ascii="Palatino Linotype" w:eastAsiaTheme="minorHAnsi" w:hAnsi="Palatino Linotype"/>
        </w:rPr>
      </w:pPr>
      <w:r w:rsidRPr="00C340F5">
        <w:rPr>
          <w:rFonts w:ascii="Palatino Linotype" w:eastAsiaTheme="minorHAnsi" w:hAnsi="Palatino Linotype"/>
        </w:rPr>
        <w:t>.</w:t>
      </w:r>
    </w:p>
    <w:p w:rsidR="00A81540" w:rsidRPr="00C340F5" w:rsidRDefault="00A81540" w:rsidP="009E21FA">
      <w:pPr>
        <w:spacing w:after="0" w:line="240" w:lineRule="auto"/>
        <w:ind w:left="720" w:hanging="720"/>
        <w:jc w:val="both"/>
        <w:rPr>
          <w:rFonts w:ascii="Palatino Linotype" w:eastAsiaTheme="minorHAnsi" w:hAnsi="Palatino Linotype"/>
        </w:rPr>
      </w:pPr>
      <w:proofErr w:type="spellStart"/>
      <w:r w:rsidRPr="00C340F5">
        <w:rPr>
          <w:rFonts w:ascii="Palatino Linotype" w:eastAsiaTheme="minorHAnsi" w:hAnsi="Palatino Linotype"/>
        </w:rPr>
        <w:lastRenderedPageBreak/>
        <w:t>Aizenman</w:t>
      </w:r>
      <w:proofErr w:type="spellEnd"/>
      <w:r w:rsidRPr="00C340F5">
        <w:rPr>
          <w:rFonts w:ascii="Palatino Linotype" w:eastAsiaTheme="minorHAnsi" w:hAnsi="Palatino Linotype"/>
        </w:rPr>
        <w:t xml:space="preserve">, J. &amp; Lee J. (2005). International reserves: Precautionary mercantilist views. </w:t>
      </w:r>
      <w:r w:rsidRPr="00C340F5">
        <w:rPr>
          <w:rFonts w:ascii="Palatino Linotype" w:eastAsiaTheme="minorHAnsi" w:hAnsi="Palatino Linotype"/>
          <w:i/>
        </w:rPr>
        <w:t>Theory and Evidence Economic Journal, 3</w:t>
      </w:r>
      <w:r w:rsidRPr="00C340F5">
        <w:rPr>
          <w:rFonts w:ascii="Palatino Linotype" w:eastAsiaTheme="minorHAnsi" w:hAnsi="Palatino Linotype"/>
        </w:rPr>
        <w:t>(6): 1-30.</w:t>
      </w:r>
    </w:p>
    <w:p w:rsidR="00A81540" w:rsidRPr="00C340F5" w:rsidRDefault="00A81540" w:rsidP="009E21FA">
      <w:pPr>
        <w:spacing w:after="0" w:line="240" w:lineRule="auto"/>
        <w:ind w:left="720" w:hanging="720"/>
        <w:jc w:val="both"/>
        <w:rPr>
          <w:rFonts w:ascii="Palatino Linotype" w:eastAsiaTheme="minorHAnsi" w:hAnsi="Palatino Linotype"/>
        </w:rPr>
      </w:pPr>
      <w:proofErr w:type="spellStart"/>
      <w:r w:rsidRPr="00C340F5">
        <w:rPr>
          <w:rFonts w:ascii="Palatino Linotype" w:eastAsiaTheme="minorHAnsi" w:hAnsi="Palatino Linotype"/>
        </w:rPr>
        <w:t>Akinboyo</w:t>
      </w:r>
      <w:proofErr w:type="spellEnd"/>
      <w:r w:rsidRPr="00C340F5">
        <w:rPr>
          <w:rFonts w:ascii="Palatino Linotype" w:eastAsiaTheme="minorHAnsi" w:hAnsi="Palatino Linotype"/>
        </w:rPr>
        <w:t xml:space="preserve">, L.O., </w:t>
      </w:r>
      <w:proofErr w:type="spellStart"/>
      <w:r w:rsidRPr="00C340F5">
        <w:rPr>
          <w:rFonts w:ascii="Palatino Linotype" w:eastAsiaTheme="minorHAnsi" w:hAnsi="Palatino Linotype"/>
        </w:rPr>
        <w:t>Omotosho</w:t>
      </w:r>
      <w:proofErr w:type="spellEnd"/>
      <w:r w:rsidRPr="00C340F5">
        <w:rPr>
          <w:rFonts w:ascii="Palatino Linotype" w:eastAsiaTheme="minorHAnsi" w:hAnsi="Palatino Linotype"/>
        </w:rPr>
        <w:t xml:space="preserve">, B.S., </w:t>
      </w:r>
      <w:proofErr w:type="spellStart"/>
      <w:r w:rsidRPr="00C340F5">
        <w:rPr>
          <w:rFonts w:ascii="Palatino Linotype" w:eastAsiaTheme="minorHAnsi" w:hAnsi="Palatino Linotype"/>
        </w:rPr>
        <w:t>Oladunni</w:t>
      </w:r>
      <w:proofErr w:type="spellEnd"/>
      <w:r w:rsidRPr="00C340F5">
        <w:rPr>
          <w:rFonts w:ascii="Palatino Linotype" w:eastAsiaTheme="minorHAnsi" w:hAnsi="Palatino Linotype"/>
        </w:rPr>
        <w:t>, S. &amp;</w:t>
      </w:r>
      <w:proofErr w:type="spellStart"/>
      <w:r w:rsidRPr="00C340F5">
        <w:rPr>
          <w:rFonts w:ascii="Palatino Linotype" w:eastAsiaTheme="minorHAnsi" w:hAnsi="Palatino Linotype"/>
        </w:rPr>
        <w:t>Owolabi</w:t>
      </w:r>
      <w:proofErr w:type="spellEnd"/>
      <w:r w:rsidRPr="00C340F5">
        <w:rPr>
          <w:rFonts w:ascii="Palatino Linotype" w:eastAsiaTheme="minorHAnsi" w:hAnsi="Palatino Linotype"/>
        </w:rPr>
        <w:t xml:space="preserve">, O.H. (2016). External reserves and economic growth in Nigeria: An empirical investigation. Available at: </w:t>
      </w:r>
      <w:hyperlink w:history="1">
        <w:r w:rsidRPr="00C340F5">
          <w:rPr>
            <w:rFonts w:ascii="Palatino Linotype" w:eastAsiaTheme="minorHAnsi" w:hAnsi="Palatino Linotype"/>
            <w:color w:val="0563C1" w:themeColor="hyperlink"/>
            <w:u w:val="single"/>
          </w:rPr>
          <w:t>https://mpra.ub.uni-</w:t>
        </w:r>
        <w:r w:rsidRPr="00C340F5">
          <w:rPr>
            <w:rFonts w:ascii="Palatino Linotype" w:eastAsiaTheme="minorHAnsi" w:hAnsi="Palatino Linotype"/>
            <w:color w:val="0563C1" w:themeColor="hyperlink"/>
          </w:rPr>
          <w:tab/>
        </w:r>
        <w:r w:rsidRPr="00C340F5">
          <w:rPr>
            <w:rFonts w:ascii="Palatino Linotype" w:eastAsiaTheme="minorHAnsi" w:hAnsi="Palatino Linotype"/>
            <w:color w:val="0563C1" w:themeColor="hyperlink"/>
            <w:u w:val="single"/>
          </w:rPr>
          <w:t>muenchen.de/98309/MPRA/Paper/No.98309</w:t>
        </w:r>
      </w:hyperlink>
      <w:r w:rsidRPr="00C340F5">
        <w:rPr>
          <w:rFonts w:ascii="Palatino Linotype" w:eastAsiaTheme="minorHAnsi" w:hAnsi="Palatino Linotype"/>
        </w:rPr>
        <w:t>.</w:t>
      </w:r>
    </w:p>
    <w:p w:rsidR="00A81540" w:rsidRPr="00C340F5" w:rsidRDefault="00A81540" w:rsidP="009E21FA">
      <w:pPr>
        <w:spacing w:after="0" w:line="240" w:lineRule="auto"/>
        <w:ind w:left="720" w:hanging="720"/>
        <w:jc w:val="both"/>
        <w:rPr>
          <w:rFonts w:ascii="Palatino Linotype" w:eastAsiaTheme="minorHAnsi" w:hAnsi="Palatino Linotype"/>
        </w:rPr>
      </w:pPr>
      <w:proofErr w:type="spellStart"/>
      <w:r w:rsidRPr="00C340F5">
        <w:rPr>
          <w:rFonts w:ascii="Palatino Linotype" w:eastAsiaTheme="minorHAnsi" w:hAnsi="Palatino Linotype"/>
        </w:rPr>
        <w:t>Akinwunmi</w:t>
      </w:r>
      <w:proofErr w:type="spellEnd"/>
      <w:r w:rsidRPr="00C340F5">
        <w:rPr>
          <w:rFonts w:ascii="Palatino Linotype" w:eastAsiaTheme="minorHAnsi" w:hAnsi="Palatino Linotype"/>
        </w:rPr>
        <w:t>, A, A. &amp;</w:t>
      </w:r>
      <w:proofErr w:type="spellStart"/>
      <w:r w:rsidRPr="00C340F5">
        <w:rPr>
          <w:rFonts w:ascii="Palatino Linotype" w:eastAsiaTheme="minorHAnsi" w:hAnsi="Palatino Linotype"/>
        </w:rPr>
        <w:t>Adekoya</w:t>
      </w:r>
      <w:proofErr w:type="spellEnd"/>
      <w:r w:rsidRPr="00C340F5">
        <w:rPr>
          <w:rFonts w:ascii="Palatino Linotype" w:eastAsiaTheme="minorHAnsi" w:hAnsi="Palatino Linotype"/>
        </w:rPr>
        <w:t xml:space="preserve">, R.B. (2016).  External reserves management and its effect on the economic growth of Nigeria. </w:t>
      </w:r>
      <w:r w:rsidRPr="00C340F5">
        <w:rPr>
          <w:rFonts w:ascii="Palatino Linotype" w:eastAsiaTheme="minorHAnsi" w:hAnsi="Palatino Linotype"/>
          <w:i/>
        </w:rPr>
        <w:t xml:space="preserve">International Journal of Business and Finance Management </w:t>
      </w:r>
      <w:r w:rsidRPr="00C340F5">
        <w:rPr>
          <w:rFonts w:ascii="Palatino Linotype" w:eastAsiaTheme="minorHAnsi" w:hAnsi="Palatino Linotype"/>
          <w:i/>
        </w:rPr>
        <w:tab/>
        <w:t>Research,</w:t>
      </w:r>
      <w:r w:rsidRPr="00C340F5">
        <w:rPr>
          <w:rFonts w:ascii="Palatino Linotype" w:eastAsiaTheme="minorHAnsi" w:hAnsi="Palatino Linotype"/>
        </w:rPr>
        <w:t xml:space="preserve"> 4: 36-46.</w:t>
      </w:r>
    </w:p>
    <w:p w:rsidR="00A81540" w:rsidRPr="00C340F5" w:rsidRDefault="00A81540" w:rsidP="009E21FA">
      <w:pPr>
        <w:spacing w:after="0" w:line="240" w:lineRule="auto"/>
        <w:ind w:left="720" w:hanging="720"/>
        <w:jc w:val="both"/>
        <w:rPr>
          <w:rFonts w:ascii="Palatino Linotype" w:eastAsiaTheme="minorHAnsi" w:hAnsi="Palatino Linotype"/>
        </w:rPr>
      </w:pPr>
      <w:proofErr w:type="spellStart"/>
      <w:r w:rsidRPr="00C340F5">
        <w:rPr>
          <w:rFonts w:ascii="Palatino Linotype" w:eastAsiaTheme="minorHAnsi" w:hAnsi="Palatino Linotype"/>
        </w:rPr>
        <w:t>Aluko</w:t>
      </w:r>
      <w:proofErr w:type="spellEnd"/>
      <w:r w:rsidRPr="00C340F5">
        <w:rPr>
          <w:rFonts w:ascii="Palatino Linotype" w:eastAsiaTheme="minorHAnsi" w:hAnsi="Palatino Linotype"/>
        </w:rPr>
        <w:t xml:space="preserve">, J. J. (2007). The monetization of Nigeria’s foreign exchange inflows. </w:t>
      </w:r>
      <w:r w:rsidRPr="00C340F5">
        <w:rPr>
          <w:rFonts w:ascii="Palatino Linotype" w:eastAsiaTheme="minorHAnsi" w:hAnsi="Palatino Linotype"/>
          <w:i/>
          <w:iCs/>
        </w:rPr>
        <w:t xml:space="preserve">CBN Bullion, </w:t>
      </w:r>
      <w:r w:rsidRPr="00C340F5">
        <w:rPr>
          <w:rFonts w:ascii="Palatino Linotype" w:eastAsiaTheme="minorHAnsi" w:hAnsi="Palatino Linotype"/>
          <w:i/>
        </w:rPr>
        <w:t>31</w:t>
      </w:r>
      <w:r w:rsidR="009E21FA">
        <w:rPr>
          <w:rFonts w:ascii="Palatino Linotype" w:eastAsiaTheme="minorHAnsi" w:hAnsi="Palatino Linotype"/>
        </w:rPr>
        <w:t xml:space="preserve">(2): </w:t>
      </w:r>
      <w:r w:rsidRPr="00C340F5">
        <w:rPr>
          <w:rFonts w:ascii="Palatino Linotype" w:eastAsiaTheme="minorHAnsi" w:hAnsi="Palatino Linotype"/>
        </w:rPr>
        <w:t>101-112.</w:t>
      </w:r>
    </w:p>
    <w:p w:rsidR="00A81540" w:rsidRPr="00C340F5" w:rsidRDefault="00A81540" w:rsidP="009E21FA">
      <w:pPr>
        <w:spacing w:after="0" w:line="240" w:lineRule="auto"/>
        <w:ind w:left="720" w:hanging="720"/>
        <w:jc w:val="both"/>
        <w:rPr>
          <w:rFonts w:ascii="Palatino Linotype" w:hAnsi="Palatino Linotype"/>
        </w:rPr>
      </w:pPr>
      <w:r w:rsidRPr="00C340F5">
        <w:rPr>
          <w:rFonts w:ascii="Palatino Linotype" w:hAnsi="Palatino Linotype"/>
        </w:rPr>
        <w:t>Brown, R. L., Durbin, J. &amp; Evans, J.M. (1975). Techniques for testing the constancy of regression relations over time</w:t>
      </w:r>
      <w:r w:rsidRPr="00C340F5">
        <w:rPr>
          <w:rFonts w:ascii="Palatino Linotype" w:hAnsi="Palatino Linotype"/>
          <w:i/>
        </w:rPr>
        <w:t>. Journal of the Royal Statistical Society</w:t>
      </w:r>
      <w:r w:rsidRPr="00C340F5">
        <w:rPr>
          <w:rFonts w:ascii="Palatino Linotype" w:hAnsi="Palatino Linotype"/>
        </w:rPr>
        <w:t>, 37: 149-192.</w:t>
      </w:r>
    </w:p>
    <w:p w:rsidR="00A81540" w:rsidRPr="00C340F5" w:rsidRDefault="00A81540" w:rsidP="009E21FA">
      <w:pPr>
        <w:spacing w:after="0" w:line="240" w:lineRule="auto"/>
        <w:ind w:left="720" w:hanging="720"/>
        <w:rPr>
          <w:rFonts w:ascii="Palatino Linotype" w:hAnsi="Palatino Linotype"/>
        </w:rPr>
      </w:pPr>
      <w:proofErr w:type="spellStart"/>
      <w:r w:rsidRPr="00C340F5">
        <w:rPr>
          <w:rFonts w:ascii="Palatino Linotype" w:hAnsi="Palatino Linotype"/>
        </w:rPr>
        <w:t>Ditimi</w:t>
      </w:r>
      <w:proofErr w:type="spellEnd"/>
      <w:r w:rsidRPr="00C340F5">
        <w:rPr>
          <w:rFonts w:ascii="Palatino Linotype" w:hAnsi="Palatino Linotype"/>
        </w:rPr>
        <w:t xml:space="preserve">, A.J, </w:t>
      </w:r>
      <w:proofErr w:type="spellStart"/>
      <w:r w:rsidRPr="00C340F5">
        <w:rPr>
          <w:rFonts w:ascii="Palatino Linotype" w:hAnsi="Palatino Linotype"/>
        </w:rPr>
        <w:t>Nwosa</w:t>
      </w:r>
      <w:proofErr w:type="spellEnd"/>
      <w:r w:rsidRPr="00C340F5">
        <w:rPr>
          <w:rFonts w:ascii="Palatino Linotype" w:hAnsi="Palatino Linotype"/>
        </w:rPr>
        <w:t xml:space="preserve">, P.I. &amp; Michelle, E.R. (2011). An appraisal of monetary policy and its effect on macroeconomic stabilization in Nigeria, </w:t>
      </w:r>
      <w:r w:rsidRPr="00C340F5">
        <w:rPr>
          <w:rFonts w:ascii="Palatino Linotype" w:hAnsi="Palatino Linotype"/>
          <w:i/>
        </w:rPr>
        <w:t>Journal of Economic Theory</w:t>
      </w:r>
      <w:r w:rsidRPr="00C340F5">
        <w:rPr>
          <w:rFonts w:ascii="Palatino Linotype" w:hAnsi="Palatino Linotype"/>
        </w:rPr>
        <w:t>, 5(2),44-49.</w:t>
      </w:r>
    </w:p>
    <w:p w:rsidR="00A81540" w:rsidRPr="00C340F5" w:rsidRDefault="00A81540" w:rsidP="009E21FA">
      <w:pPr>
        <w:spacing w:after="0" w:line="240" w:lineRule="auto"/>
        <w:ind w:left="720" w:hanging="720"/>
        <w:jc w:val="both"/>
        <w:rPr>
          <w:rFonts w:ascii="Palatino Linotype" w:eastAsiaTheme="minorHAnsi" w:hAnsi="Palatino Linotype"/>
        </w:rPr>
      </w:pPr>
      <w:proofErr w:type="spellStart"/>
      <w:r w:rsidRPr="00C340F5">
        <w:rPr>
          <w:rFonts w:ascii="Palatino Linotype" w:eastAsiaTheme="minorHAnsi" w:hAnsi="Palatino Linotype"/>
        </w:rPr>
        <w:t>Egbulonu</w:t>
      </w:r>
      <w:proofErr w:type="spellEnd"/>
      <w:r w:rsidRPr="00C340F5">
        <w:rPr>
          <w:rFonts w:ascii="Palatino Linotype" w:eastAsiaTheme="minorHAnsi" w:hAnsi="Palatino Linotype"/>
        </w:rPr>
        <w:t>, K.G. &amp;</w:t>
      </w:r>
      <w:proofErr w:type="spellStart"/>
      <w:r w:rsidRPr="00C340F5">
        <w:rPr>
          <w:rFonts w:ascii="Palatino Linotype" w:eastAsiaTheme="minorHAnsi" w:hAnsi="Palatino Linotype"/>
        </w:rPr>
        <w:t>Akamike</w:t>
      </w:r>
      <w:proofErr w:type="spellEnd"/>
      <w:r w:rsidRPr="00C340F5">
        <w:rPr>
          <w:rFonts w:ascii="Palatino Linotype" w:eastAsiaTheme="minorHAnsi" w:hAnsi="Palatino Linotype"/>
        </w:rPr>
        <w:t xml:space="preserve">, O.J. (2018).  External reserve management and the Nigerian economy, 1990 – 2015.  </w:t>
      </w:r>
      <w:r w:rsidRPr="00C340F5">
        <w:rPr>
          <w:rFonts w:ascii="Palatino Linotype" w:eastAsiaTheme="minorHAnsi" w:hAnsi="Palatino Linotype"/>
          <w:i/>
        </w:rPr>
        <w:t>International Journal of Business and Law Research, 6</w:t>
      </w:r>
      <w:r w:rsidRPr="00C340F5">
        <w:rPr>
          <w:rFonts w:ascii="Palatino Linotype" w:eastAsiaTheme="minorHAnsi" w:hAnsi="Palatino Linotype"/>
        </w:rPr>
        <w:t>(3): 60-68.</w:t>
      </w:r>
    </w:p>
    <w:p w:rsidR="00A81540" w:rsidRPr="00C340F5" w:rsidRDefault="00A81540" w:rsidP="009E21FA">
      <w:pPr>
        <w:spacing w:after="0" w:line="240" w:lineRule="auto"/>
        <w:ind w:left="720" w:hanging="720"/>
        <w:jc w:val="both"/>
        <w:rPr>
          <w:rFonts w:ascii="Palatino Linotype" w:eastAsiaTheme="minorHAnsi" w:hAnsi="Palatino Linotype"/>
        </w:rPr>
      </w:pPr>
      <w:proofErr w:type="spellStart"/>
      <w:r w:rsidRPr="00C340F5">
        <w:rPr>
          <w:rFonts w:ascii="Palatino Linotype" w:eastAsiaTheme="minorHAnsi" w:hAnsi="Palatino Linotype"/>
        </w:rPr>
        <w:t>Egwakhe</w:t>
      </w:r>
      <w:proofErr w:type="spellEnd"/>
      <w:r w:rsidRPr="00C340F5">
        <w:rPr>
          <w:rFonts w:ascii="Palatino Linotype" w:eastAsiaTheme="minorHAnsi" w:hAnsi="Palatino Linotype"/>
        </w:rPr>
        <w:t>, A. J. &amp;</w:t>
      </w:r>
      <w:proofErr w:type="spellStart"/>
      <w:r w:rsidRPr="00C340F5">
        <w:rPr>
          <w:rFonts w:ascii="Palatino Linotype" w:eastAsiaTheme="minorHAnsi" w:hAnsi="Palatino Linotype"/>
        </w:rPr>
        <w:t>Osabuohien</w:t>
      </w:r>
      <w:proofErr w:type="spellEnd"/>
      <w:r w:rsidRPr="00C340F5">
        <w:rPr>
          <w:rFonts w:ascii="Palatino Linotype" w:eastAsiaTheme="minorHAnsi" w:hAnsi="Palatino Linotype"/>
        </w:rPr>
        <w:t xml:space="preserve">, E. (2008). External reserves and the Nigerian economic growth. </w:t>
      </w:r>
      <w:r w:rsidRPr="00C340F5">
        <w:rPr>
          <w:rFonts w:ascii="Palatino Linotype" w:eastAsiaTheme="minorHAnsi" w:hAnsi="Palatino Linotype"/>
          <w:i/>
        </w:rPr>
        <w:t>African Journal of Business and Economic Research, 2</w:t>
      </w:r>
      <w:r w:rsidRPr="00C340F5">
        <w:rPr>
          <w:rFonts w:ascii="Palatino Linotype" w:eastAsiaTheme="minorHAnsi" w:hAnsi="Palatino Linotype"/>
        </w:rPr>
        <w:t>(3):28-41.</w:t>
      </w:r>
    </w:p>
    <w:p w:rsidR="00A81540" w:rsidRPr="00C340F5" w:rsidRDefault="00A81540" w:rsidP="009E21FA">
      <w:pPr>
        <w:spacing w:after="0" w:line="240" w:lineRule="auto"/>
        <w:ind w:left="720" w:hanging="720"/>
        <w:jc w:val="both"/>
        <w:rPr>
          <w:rFonts w:ascii="Palatino Linotype" w:eastAsiaTheme="minorHAnsi" w:hAnsi="Palatino Linotype"/>
        </w:rPr>
      </w:pPr>
      <w:proofErr w:type="spellStart"/>
      <w:r w:rsidRPr="00C340F5">
        <w:rPr>
          <w:rFonts w:ascii="Palatino Linotype" w:eastAsiaTheme="minorHAnsi" w:hAnsi="Palatino Linotype"/>
        </w:rPr>
        <w:t>Eniekezimene</w:t>
      </w:r>
      <w:proofErr w:type="spellEnd"/>
      <w:r w:rsidRPr="00C340F5">
        <w:rPr>
          <w:rFonts w:ascii="Palatino Linotype" w:eastAsiaTheme="minorHAnsi" w:hAnsi="Palatino Linotype"/>
        </w:rPr>
        <w:t>, F.A. &amp;</w:t>
      </w:r>
      <w:proofErr w:type="spellStart"/>
      <w:r w:rsidRPr="00C340F5">
        <w:rPr>
          <w:rFonts w:ascii="Palatino Linotype" w:eastAsiaTheme="minorHAnsi" w:hAnsi="Palatino Linotype"/>
        </w:rPr>
        <w:t>Apere</w:t>
      </w:r>
      <w:proofErr w:type="spellEnd"/>
      <w:r w:rsidRPr="00C340F5">
        <w:rPr>
          <w:rFonts w:ascii="Palatino Linotype" w:eastAsiaTheme="minorHAnsi" w:hAnsi="Palatino Linotype"/>
        </w:rPr>
        <w:t>, T.O. (2016). External reserve man</w:t>
      </w:r>
      <w:r w:rsidR="009E21FA">
        <w:rPr>
          <w:rFonts w:ascii="Palatino Linotype" w:eastAsiaTheme="minorHAnsi" w:hAnsi="Palatino Linotype"/>
        </w:rPr>
        <w:t xml:space="preserve">agement and economic growth in </w:t>
      </w:r>
      <w:r w:rsidRPr="00C340F5">
        <w:rPr>
          <w:rFonts w:ascii="Palatino Linotype" w:eastAsiaTheme="minorHAnsi" w:hAnsi="Palatino Linotype"/>
        </w:rPr>
        <w:t xml:space="preserve">Nigeria. </w:t>
      </w:r>
      <w:r w:rsidRPr="00C340F5">
        <w:rPr>
          <w:rFonts w:ascii="Palatino Linotype" w:eastAsiaTheme="minorHAnsi" w:hAnsi="Palatino Linotype"/>
          <w:i/>
        </w:rPr>
        <w:t>International Journal of Empirical Finan</w:t>
      </w:r>
      <w:r w:rsidR="009E21FA">
        <w:rPr>
          <w:rFonts w:ascii="Palatino Linotype" w:eastAsiaTheme="minorHAnsi" w:hAnsi="Palatino Linotype"/>
          <w:i/>
        </w:rPr>
        <w:t xml:space="preserve">ce, Research Academy of Social </w:t>
      </w:r>
      <w:r w:rsidRPr="00C340F5">
        <w:rPr>
          <w:rFonts w:ascii="Palatino Linotype" w:eastAsiaTheme="minorHAnsi" w:hAnsi="Palatino Linotype"/>
          <w:i/>
        </w:rPr>
        <w:t>Sciences, 5</w:t>
      </w:r>
      <w:r w:rsidRPr="00C340F5">
        <w:rPr>
          <w:rFonts w:ascii="Palatino Linotype" w:eastAsiaTheme="minorHAnsi" w:hAnsi="Palatino Linotype"/>
        </w:rPr>
        <w:t>(2): 101-111.</w:t>
      </w:r>
    </w:p>
    <w:p w:rsidR="00A81540" w:rsidRPr="00C340F5" w:rsidRDefault="00A81540" w:rsidP="009E21FA">
      <w:pPr>
        <w:spacing w:after="0" w:line="240" w:lineRule="auto"/>
        <w:ind w:left="720" w:hanging="720"/>
        <w:jc w:val="both"/>
        <w:rPr>
          <w:rFonts w:ascii="Palatino Linotype" w:eastAsiaTheme="minorHAnsi" w:hAnsi="Palatino Linotype"/>
        </w:rPr>
      </w:pPr>
      <w:proofErr w:type="spellStart"/>
      <w:r w:rsidRPr="00C340F5">
        <w:rPr>
          <w:rFonts w:ascii="Palatino Linotype" w:eastAsiaTheme="minorHAnsi" w:hAnsi="Palatino Linotype"/>
        </w:rPr>
        <w:t>Fapetu</w:t>
      </w:r>
      <w:proofErr w:type="spellEnd"/>
      <w:r w:rsidRPr="00C340F5">
        <w:rPr>
          <w:rFonts w:ascii="Palatino Linotype" w:eastAsiaTheme="minorHAnsi" w:hAnsi="Palatino Linotype"/>
        </w:rPr>
        <w:t>, O. &amp;</w:t>
      </w:r>
      <w:proofErr w:type="spellStart"/>
      <w:r w:rsidRPr="00C340F5">
        <w:rPr>
          <w:rFonts w:ascii="Palatino Linotype" w:eastAsiaTheme="minorHAnsi" w:hAnsi="Palatino Linotype"/>
        </w:rPr>
        <w:t>Oloyede</w:t>
      </w:r>
      <w:proofErr w:type="spellEnd"/>
      <w:r w:rsidRPr="00C340F5">
        <w:rPr>
          <w:rFonts w:ascii="Palatino Linotype" w:eastAsiaTheme="minorHAnsi" w:hAnsi="Palatino Linotype"/>
        </w:rPr>
        <w:t xml:space="preserve">, J.A. (2014). Foreign exchange management and the Nigerian economic growth. </w:t>
      </w:r>
      <w:r w:rsidRPr="00C340F5">
        <w:rPr>
          <w:rFonts w:ascii="Palatino Linotype" w:eastAsiaTheme="minorHAnsi" w:hAnsi="Palatino Linotype"/>
          <w:i/>
        </w:rPr>
        <w:t>European Journal of Business Innovation Research, 2</w:t>
      </w:r>
      <w:r w:rsidRPr="00C340F5">
        <w:rPr>
          <w:rFonts w:ascii="Palatino Linotype" w:eastAsiaTheme="minorHAnsi" w:hAnsi="Palatino Linotype"/>
        </w:rPr>
        <w:t>(2):19-31.</w:t>
      </w:r>
    </w:p>
    <w:p w:rsidR="00A81540" w:rsidRPr="00C340F5" w:rsidRDefault="00A81540" w:rsidP="009E21FA">
      <w:pPr>
        <w:spacing w:after="0" w:line="240" w:lineRule="auto"/>
        <w:ind w:left="720" w:hanging="720"/>
        <w:jc w:val="both"/>
        <w:rPr>
          <w:rFonts w:ascii="Palatino Linotype" w:eastAsiaTheme="minorHAnsi" w:hAnsi="Palatino Linotype"/>
        </w:rPr>
      </w:pPr>
      <w:proofErr w:type="spellStart"/>
      <w:r w:rsidRPr="00C340F5">
        <w:rPr>
          <w:rFonts w:ascii="Palatino Linotype" w:eastAsiaTheme="minorHAnsi" w:hAnsi="Palatino Linotype"/>
        </w:rPr>
        <w:t>Ifurueze</w:t>
      </w:r>
      <w:proofErr w:type="spellEnd"/>
      <w:r w:rsidRPr="00C340F5">
        <w:rPr>
          <w:rFonts w:ascii="Palatino Linotype" w:eastAsiaTheme="minorHAnsi" w:hAnsi="Palatino Linotype"/>
        </w:rPr>
        <w:t xml:space="preserve">, M. (2014). External reserve composition and economic growth in Nigeria: A time series analysis. </w:t>
      </w:r>
      <w:r w:rsidRPr="00C340F5">
        <w:rPr>
          <w:rFonts w:ascii="Palatino Linotype" w:eastAsiaTheme="minorHAnsi" w:hAnsi="Palatino Linotype"/>
          <w:i/>
        </w:rPr>
        <w:t>Canadian Open Economics Journal, 1</w:t>
      </w:r>
      <w:r w:rsidRPr="00C340F5">
        <w:rPr>
          <w:rFonts w:ascii="Palatino Linotype" w:eastAsiaTheme="minorHAnsi" w:hAnsi="Palatino Linotype"/>
        </w:rPr>
        <w:t>(1): 1-13.</w:t>
      </w:r>
    </w:p>
    <w:p w:rsidR="00A81540" w:rsidRPr="00C340F5" w:rsidRDefault="00A81540" w:rsidP="009E21FA">
      <w:pPr>
        <w:spacing w:after="0" w:line="240" w:lineRule="auto"/>
        <w:ind w:left="720" w:hanging="720"/>
        <w:jc w:val="both"/>
        <w:rPr>
          <w:rFonts w:ascii="Palatino Linotype" w:eastAsiaTheme="minorHAnsi" w:hAnsi="Palatino Linotype"/>
        </w:rPr>
      </w:pPr>
      <w:r w:rsidRPr="00C340F5">
        <w:rPr>
          <w:rFonts w:ascii="Palatino Linotype" w:eastAsiaTheme="minorHAnsi" w:hAnsi="Palatino Linotype"/>
        </w:rPr>
        <w:t xml:space="preserve">IMF (2007). </w:t>
      </w:r>
      <w:r w:rsidRPr="00C340F5">
        <w:rPr>
          <w:rFonts w:ascii="Palatino Linotype" w:eastAsiaTheme="minorHAnsi" w:hAnsi="Palatino Linotype"/>
          <w:i/>
          <w:iCs/>
        </w:rPr>
        <w:t>Balance of Payments Manual: 5th Edition</w:t>
      </w:r>
      <w:r w:rsidRPr="00C340F5">
        <w:rPr>
          <w:rFonts w:ascii="Palatino Linotype" w:eastAsiaTheme="minorHAnsi" w:hAnsi="Palatino Linotype"/>
        </w:rPr>
        <w:t>. International Monetary Fund.</w:t>
      </w:r>
    </w:p>
    <w:p w:rsidR="00A81540" w:rsidRPr="00C340F5" w:rsidRDefault="00A81540" w:rsidP="009E21FA">
      <w:pPr>
        <w:spacing w:after="0" w:line="240" w:lineRule="auto"/>
        <w:ind w:left="720" w:hanging="720"/>
        <w:rPr>
          <w:rFonts w:ascii="Palatino Linotype" w:hAnsi="Palatino Linotype"/>
        </w:rPr>
      </w:pPr>
      <w:r w:rsidRPr="00C340F5">
        <w:rPr>
          <w:rFonts w:ascii="Palatino Linotype" w:hAnsi="Palatino Linotype"/>
        </w:rPr>
        <w:t xml:space="preserve">Kahn, M. &amp; Mansur, E. (2013). Do local energy prices and regulations affect the geographic concentration of employment? </w:t>
      </w:r>
      <w:r w:rsidRPr="00C340F5">
        <w:rPr>
          <w:rFonts w:ascii="Palatino Linotype" w:hAnsi="Palatino Linotype"/>
          <w:i/>
        </w:rPr>
        <w:t>Journal of Public Economics</w:t>
      </w:r>
      <w:r w:rsidRPr="00C340F5">
        <w:rPr>
          <w:rFonts w:ascii="Palatino Linotype" w:hAnsi="Palatino Linotype"/>
        </w:rPr>
        <w:t>,101(C),105-114</w:t>
      </w:r>
    </w:p>
    <w:p w:rsidR="00A81540" w:rsidRPr="00C340F5" w:rsidRDefault="00A81540" w:rsidP="009E21FA">
      <w:pPr>
        <w:spacing w:after="0" w:line="240" w:lineRule="auto"/>
        <w:ind w:left="720" w:hanging="720"/>
        <w:jc w:val="both"/>
        <w:rPr>
          <w:rFonts w:ascii="Palatino Linotype" w:eastAsiaTheme="minorHAnsi" w:hAnsi="Palatino Linotype"/>
        </w:rPr>
      </w:pPr>
      <w:r w:rsidRPr="00C340F5">
        <w:rPr>
          <w:rFonts w:ascii="Palatino Linotype" w:eastAsiaTheme="minorHAnsi" w:hAnsi="Palatino Linotype"/>
        </w:rPr>
        <w:t xml:space="preserve">Modigliani, F. (1988). The monetarist controversy revisited. </w:t>
      </w:r>
      <w:r w:rsidRPr="00C340F5">
        <w:rPr>
          <w:rFonts w:ascii="Palatino Linotype" w:eastAsiaTheme="minorHAnsi" w:hAnsi="Palatino Linotype"/>
          <w:i/>
        </w:rPr>
        <w:t>Contemporary Economic Policy, 6</w:t>
      </w:r>
      <w:r w:rsidR="009E21FA">
        <w:rPr>
          <w:rFonts w:ascii="Palatino Linotype" w:eastAsiaTheme="minorHAnsi" w:hAnsi="Palatino Linotype"/>
        </w:rPr>
        <w:t xml:space="preserve">: </w:t>
      </w:r>
      <w:r w:rsidRPr="00C340F5">
        <w:rPr>
          <w:rFonts w:ascii="Palatino Linotype" w:eastAsiaTheme="minorHAnsi" w:hAnsi="Palatino Linotype"/>
        </w:rPr>
        <w:t>3-18.</w:t>
      </w:r>
    </w:p>
    <w:p w:rsidR="00A81540" w:rsidRPr="00C340F5" w:rsidRDefault="00A81540" w:rsidP="009E21FA">
      <w:pPr>
        <w:spacing w:after="0" w:line="240" w:lineRule="auto"/>
        <w:ind w:left="720" w:hanging="720"/>
        <w:rPr>
          <w:rFonts w:ascii="Palatino Linotype" w:hAnsi="Palatino Linotype"/>
        </w:rPr>
      </w:pPr>
      <w:r w:rsidRPr="00C340F5">
        <w:rPr>
          <w:rFonts w:ascii="Palatino Linotype" w:hAnsi="Palatino Linotype"/>
        </w:rPr>
        <w:t xml:space="preserve">Narayan, P.K. (2005). The saving and investment nexus for China: Evidence from </w:t>
      </w:r>
      <w:proofErr w:type="spellStart"/>
      <w:r w:rsidRPr="00C340F5">
        <w:rPr>
          <w:rFonts w:ascii="Palatino Linotype" w:hAnsi="Palatino Linotype"/>
        </w:rPr>
        <w:t>cointegration</w:t>
      </w:r>
      <w:proofErr w:type="spellEnd"/>
      <w:r w:rsidRPr="00C340F5">
        <w:rPr>
          <w:rFonts w:ascii="Palatino Linotype" w:hAnsi="Palatino Linotype"/>
        </w:rPr>
        <w:t xml:space="preserve"> tests. Applied economics, 37,1979-1990. </w:t>
      </w:r>
      <w:hyperlink r:id="rId23" w:history="1">
        <w:r w:rsidRPr="00C340F5">
          <w:rPr>
            <w:rStyle w:val="Hyperlink"/>
            <w:rFonts w:ascii="Palatino Linotype" w:hAnsi="Palatino Linotype"/>
          </w:rPr>
          <w:t>https://doi.org/10.1080/00036840500278103</w:t>
        </w:r>
      </w:hyperlink>
    </w:p>
    <w:p w:rsidR="00A81540" w:rsidRPr="00C340F5" w:rsidRDefault="00A81540" w:rsidP="009E21FA">
      <w:pPr>
        <w:spacing w:after="0" w:line="240" w:lineRule="auto"/>
        <w:ind w:left="720" w:hanging="720"/>
        <w:jc w:val="both"/>
        <w:rPr>
          <w:rFonts w:ascii="Palatino Linotype" w:eastAsiaTheme="minorHAnsi" w:hAnsi="Palatino Linotype"/>
        </w:rPr>
      </w:pPr>
      <w:proofErr w:type="spellStart"/>
      <w:r w:rsidRPr="00C340F5">
        <w:rPr>
          <w:rFonts w:ascii="Palatino Linotype" w:eastAsiaTheme="minorHAnsi" w:hAnsi="Palatino Linotype"/>
        </w:rPr>
        <w:t>Nwafor</w:t>
      </w:r>
      <w:proofErr w:type="spellEnd"/>
      <w:r w:rsidRPr="00C340F5">
        <w:rPr>
          <w:rFonts w:ascii="Palatino Linotype" w:eastAsiaTheme="minorHAnsi" w:hAnsi="Palatino Linotype"/>
        </w:rPr>
        <w:t xml:space="preserve">, M.C. (2017). External reserves: panacea for economic growth in Nigeria. </w:t>
      </w:r>
      <w:r w:rsidR="009E21FA">
        <w:rPr>
          <w:rFonts w:ascii="Palatino Linotype" w:eastAsiaTheme="minorHAnsi" w:hAnsi="Palatino Linotype"/>
          <w:i/>
          <w:color w:val="000000"/>
        </w:rPr>
        <w:t xml:space="preserve">European </w:t>
      </w:r>
      <w:r w:rsidRPr="00C340F5">
        <w:rPr>
          <w:rFonts w:ascii="Palatino Linotype" w:eastAsiaTheme="minorHAnsi" w:hAnsi="Palatino Linotype"/>
          <w:i/>
          <w:color w:val="000000"/>
        </w:rPr>
        <w:t>Journal of Business and Management, 9</w:t>
      </w:r>
      <w:r w:rsidRPr="00C340F5">
        <w:rPr>
          <w:rFonts w:ascii="Palatino Linotype" w:eastAsiaTheme="minorHAnsi" w:hAnsi="Palatino Linotype"/>
          <w:color w:val="000000"/>
        </w:rPr>
        <w:t>(33): 36-47.</w:t>
      </w:r>
    </w:p>
    <w:p w:rsidR="00A81540" w:rsidRPr="00C340F5" w:rsidRDefault="00A81540" w:rsidP="009E21FA">
      <w:pPr>
        <w:spacing w:after="0" w:line="240" w:lineRule="auto"/>
        <w:ind w:left="720" w:hanging="720"/>
        <w:jc w:val="both"/>
        <w:rPr>
          <w:rFonts w:ascii="Palatino Linotype" w:eastAsiaTheme="minorHAnsi" w:hAnsi="Palatino Linotype"/>
        </w:rPr>
      </w:pPr>
      <w:proofErr w:type="spellStart"/>
      <w:r w:rsidRPr="00C340F5">
        <w:rPr>
          <w:rFonts w:ascii="Palatino Linotype" w:eastAsiaTheme="minorHAnsi" w:hAnsi="Palatino Linotype"/>
        </w:rPr>
        <w:t>Nwosa</w:t>
      </w:r>
      <w:proofErr w:type="spellEnd"/>
      <w:r w:rsidRPr="00C340F5">
        <w:rPr>
          <w:rFonts w:ascii="Palatino Linotype" w:eastAsiaTheme="minorHAnsi" w:hAnsi="Palatino Linotype"/>
        </w:rPr>
        <w:t xml:space="preserve">, P.I. (2017). External reserves on economic growth in Nigeria. </w:t>
      </w:r>
      <w:r w:rsidR="009E21FA">
        <w:rPr>
          <w:rFonts w:ascii="Palatino Linotype" w:eastAsiaTheme="minorHAnsi" w:hAnsi="Palatino Linotype"/>
          <w:i/>
        </w:rPr>
        <w:t xml:space="preserve">Journal of </w:t>
      </w:r>
      <w:r w:rsidRPr="00C340F5">
        <w:rPr>
          <w:rFonts w:ascii="Palatino Linotype" w:eastAsiaTheme="minorHAnsi" w:hAnsi="Palatino Linotype"/>
          <w:i/>
        </w:rPr>
        <w:t>Entrepreneurship, Business and Economics, 5</w:t>
      </w:r>
      <w:r w:rsidRPr="00C340F5">
        <w:rPr>
          <w:rFonts w:ascii="Palatino Linotype" w:eastAsiaTheme="minorHAnsi" w:hAnsi="Palatino Linotype"/>
        </w:rPr>
        <w:t>(2): 110–126.</w:t>
      </w:r>
    </w:p>
    <w:p w:rsidR="00A81540" w:rsidRPr="00C340F5" w:rsidRDefault="00A81540" w:rsidP="009E21FA">
      <w:pPr>
        <w:spacing w:after="0" w:line="240" w:lineRule="auto"/>
        <w:ind w:left="720" w:hanging="720"/>
        <w:jc w:val="both"/>
        <w:rPr>
          <w:rFonts w:ascii="Palatino Linotype" w:eastAsiaTheme="minorHAnsi" w:hAnsi="Palatino Linotype"/>
        </w:rPr>
      </w:pPr>
      <w:proofErr w:type="spellStart"/>
      <w:r w:rsidRPr="00C340F5">
        <w:rPr>
          <w:rFonts w:ascii="Palatino Linotype" w:eastAsiaTheme="minorHAnsi" w:hAnsi="Palatino Linotype"/>
        </w:rPr>
        <w:t>Obaseki</w:t>
      </w:r>
      <w:proofErr w:type="spellEnd"/>
      <w:r w:rsidRPr="00C340F5">
        <w:rPr>
          <w:rFonts w:ascii="Palatino Linotype" w:eastAsiaTheme="minorHAnsi" w:hAnsi="Palatino Linotype"/>
        </w:rPr>
        <w:t xml:space="preserve">, P. J. (2007). Foreign exchange management in Nigeria: Past, present and future. </w:t>
      </w:r>
      <w:r w:rsidR="009E21FA">
        <w:rPr>
          <w:rFonts w:ascii="Palatino Linotype" w:eastAsiaTheme="minorHAnsi" w:hAnsi="Palatino Linotype"/>
          <w:i/>
        </w:rPr>
        <w:t xml:space="preserve">CBN </w:t>
      </w:r>
      <w:r w:rsidRPr="00C340F5">
        <w:rPr>
          <w:rFonts w:ascii="Palatino Linotype" w:eastAsiaTheme="minorHAnsi" w:hAnsi="Palatino Linotype"/>
          <w:i/>
        </w:rPr>
        <w:t>Economic and Financial Review, 29</w:t>
      </w:r>
      <w:r w:rsidRPr="00C340F5">
        <w:rPr>
          <w:rFonts w:ascii="Palatino Linotype" w:eastAsiaTheme="minorHAnsi" w:hAnsi="Palatino Linotype"/>
        </w:rPr>
        <w:t>(1) 125-132</w:t>
      </w:r>
    </w:p>
    <w:p w:rsidR="00A81540" w:rsidRPr="00C340F5" w:rsidRDefault="00A81540" w:rsidP="009E21FA">
      <w:pPr>
        <w:spacing w:after="0" w:line="240" w:lineRule="auto"/>
        <w:ind w:left="720" w:hanging="720"/>
        <w:jc w:val="both"/>
        <w:rPr>
          <w:rFonts w:ascii="Palatino Linotype" w:eastAsiaTheme="minorHAnsi" w:hAnsi="Palatino Linotype"/>
        </w:rPr>
      </w:pPr>
      <w:proofErr w:type="spellStart"/>
      <w:r w:rsidRPr="00C340F5">
        <w:rPr>
          <w:rFonts w:ascii="Palatino Linotype" w:eastAsiaTheme="minorHAnsi" w:hAnsi="Palatino Linotype"/>
        </w:rPr>
        <w:t>Ojiako</w:t>
      </w:r>
      <w:proofErr w:type="spellEnd"/>
      <w:r w:rsidRPr="00C340F5">
        <w:rPr>
          <w:rFonts w:ascii="Palatino Linotype" w:eastAsiaTheme="minorHAnsi" w:hAnsi="Palatino Linotype"/>
        </w:rPr>
        <w:t>, I.A. (2020). Linkages between external reserves and ec</w:t>
      </w:r>
      <w:r w:rsidR="009E21FA">
        <w:rPr>
          <w:rFonts w:ascii="Palatino Linotype" w:eastAsiaTheme="minorHAnsi" w:hAnsi="Palatino Linotype"/>
        </w:rPr>
        <w:t xml:space="preserve">onomic performance in Nigeria, </w:t>
      </w:r>
      <w:r w:rsidRPr="00C340F5">
        <w:rPr>
          <w:rFonts w:ascii="Palatino Linotype" w:eastAsiaTheme="minorHAnsi" w:hAnsi="Palatino Linotype"/>
        </w:rPr>
        <w:t xml:space="preserve">1981-2018: Bounds Test and ARDL Approaches. </w:t>
      </w:r>
      <w:r w:rsidRPr="00C340F5">
        <w:rPr>
          <w:rFonts w:ascii="Palatino Linotype" w:eastAsiaTheme="minorHAnsi" w:hAnsi="Palatino Linotype"/>
          <w:i/>
        </w:rPr>
        <w:t>South Asian Journal of Social Studies and Economics 6</w:t>
      </w:r>
      <w:r w:rsidRPr="00C340F5">
        <w:rPr>
          <w:rFonts w:ascii="Palatino Linotype" w:eastAsiaTheme="minorHAnsi" w:hAnsi="Palatino Linotype"/>
        </w:rPr>
        <w:t>(1): 44-62.</w:t>
      </w:r>
    </w:p>
    <w:p w:rsidR="00A81540" w:rsidRPr="00C340F5" w:rsidRDefault="00A81540" w:rsidP="009E21FA">
      <w:pPr>
        <w:spacing w:after="0" w:line="240" w:lineRule="auto"/>
        <w:ind w:left="720" w:hanging="720"/>
        <w:jc w:val="both"/>
        <w:rPr>
          <w:rFonts w:ascii="Palatino Linotype" w:eastAsiaTheme="minorHAnsi" w:hAnsi="Palatino Linotype"/>
        </w:rPr>
      </w:pPr>
    </w:p>
    <w:p w:rsidR="00A81540" w:rsidRPr="00C340F5" w:rsidRDefault="00A81540" w:rsidP="009E21FA">
      <w:pPr>
        <w:spacing w:after="0" w:line="240" w:lineRule="auto"/>
        <w:ind w:left="720" w:hanging="720"/>
        <w:jc w:val="both"/>
        <w:rPr>
          <w:rFonts w:ascii="Palatino Linotype" w:eastAsiaTheme="minorHAnsi" w:hAnsi="Palatino Linotype"/>
        </w:rPr>
      </w:pPr>
      <w:proofErr w:type="spellStart"/>
      <w:r w:rsidRPr="00C340F5">
        <w:rPr>
          <w:rFonts w:ascii="Palatino Linotype" w:eastAsiaTheme="minorHAnsi" w:hAnsi="Palatino Linotype"/>
        </w:rPr>
        <w:lastRenderedPageBreak/>
        <w:t>Osuji</w:t>
      </w:r>
      <w:proofErr w:type="spellEnd"/>
      <w:r w:rsidRPr="00C340F5">
        <w:rPr>
          <w:rFonts w:ascii="Palatino Linotype" w:eastAsiaTheme="minorHAnsi" w:hAnsi="Palatino Linotype"/>
        </w:rPr>
        <w:t>, C.C. &amp;</w:t>
      </w:r>
      <w:proofErr w:type="spellStart"/>
      <w:r w:rsidRPr="00C340F5">
        <w:rPr>
          <w:rFonts w:ascii="Palatino Linotype" w:eastAsiaTheme="minorHAnsi" w:hAnsi="Palatino Linotype"/>
        </w:rPr>
        <w:t>Ebiringa</w:t>
      </w:r>
      <w:proofErr w:type="spellEnd"/>
      <w:r w:rsidRPr="00C340F5">
        <w:rPr>
          <w:rFonts w:ascii="Palatino Linotype" w:eastAsiaTheme="minorHAnsi" w:hAnsi="Palatino Linotype"/>
        </w:rPr>
        <w:t xml:space="preserve">, O.T. (2012). Analysis of the effect of external reserves management on the macroeconomic stability of Nigeria. </w:t>
      </w:r>
      <w:r w:rsidRPr="00C340F5">
        <w:rPr>
          <w:rFonts w:ascii="Palatino Linotype" w:eastAsiaTheme="minorHAnsi" w:hAnsi="Palatino Linotype"/>
          <w:i/>
        </w:rPr>
        <w:t>International J</w:t>
      </w:r>
      <w:r w:rsidR="009E21FA">
        <w:rPr>
          <w:rFonts w:ascii="Palatino Linotype" w:eastAsiaTheme="minorHAnsi" w:hAnsi="Palatino Linotype"/>
          <w:i/>
        </w:rPr>
        <w:t xml:space="preserve">ournal of Business Management &amp; </w:t>
      </w:r>
      <w:r w:rsidRPr="00C340F5">
        <w:rPr>
          <w:rFonts w:ascii="Palatino Linotype" w:eastAsiaTheme="minorHAnsi" w:hAnsi="Palatino Linotype"/>
          <w:i/>
        </w:rPr>
        <w:t>Economic Research,3</w:t>
      </w:r>
      <w:r w:rsidRPr="00C340F5">
        <w:rPr>
          <w:rFonts w:ascii="Palatino Linotype" w:eastAsiaTheme="minorHAnsi" w:hAnsi="Palatino Linotype"/>
        </w:rPr>
        <w:t>(6): 646-654.</w:t>
      </w:r>
    </w:p>
    <w:p w:rsidR="00A81540" w:rsidRPr="00C340F5" w:rsidRDefault="00A81540" w:rsidP="009E21FA">
      <w:pPr>
        <w:spacing w:after="0" w:line="240" w:lineRule="auto"/>
        <w:ind w:left="720" w:hanging="720"/>
        <w:rPr>
          <w:rFonts w:ascii="Palatino Linotype" w:hAnsi="Palatino Linotype"/>
        </w:rPr>
      </w:pPr>
      <w:proofErr w:type="spellStart"/>
      <w:r w:rsidRPr="00C340F5">
        <w:rPr>
          <w:rFonts w:ascii="Palatino Linotype" w:hAnsi="Palatino Linotype"/>
        </w:rPr>
        <w:t>Pesaran</w:t>
      </w:r>
      <w:proofErr w:type="spellEnd"/>
      <w:r w:rsidRPr="00C340F5">
        <w:rPr>
          <w:rFonts w:ascii="Palatino Linotype" w:hAnsi="Palatino Linotype"/>
        </w:rPr>
        <w:t xml:space="preserve">, M.H. &amp; </w:t>
      </w:r>
      <w:proofErr w:type="spellStart"/>
      <w:r w:rsidRPr="00C340F5">
        <w:rPr>
          <w:rFonts w:ascii="Palatino Linotype" w:hAnsi="Palatino Linotype"/>
        </w:rPr>
        <w:t>Pesaran</w:t>
      </w:r>
      <w:proofErr w:type="spellEnd"/>
      <w:r w:rsidRPr="00C340F5">
        <w:rPr>
          <w:rFonts w:ascii="Palatino Linotype" w:hAnsi="Palatino Linotype"/>
        </w:rPr>
        <w:t xml:space="preserve">, B. (1997). Working with </w:t>
      </w:r>
      <w:proofErr w:type="spellStart"/>
      <w:r w:rsidRPr="00C340F5">
        <w:rPr>
          <w:rFonts w:ascii="Palatino Linotype" w:hAnsi="Palatino Linotype"/>
        </w:rPr>
        <w:t>Microfit</w:t>
      </w:r>
      <w:proofErr w:type="spellEnd"/>
      <w:r w:rsidRPr="00C340F5">
        <w:rPr>
          <w:rFonts w:ascii="Palatino Linotype" w:hAnsi="Palatino Linotype"/>
        </w:rPr>
        <w:t xml:space="preserve"> 4.0: Interactive econometric analysis; Windows version. Oxford University.</w:t>
      </w:r>
    </w:p>
    <w:p w:rsidR="00A81540" w:rsidRPr="00C340F5" w:rsidRDefault="00A81540" w:rsidP="009E21FA">
      <w:pPr>
        <w:spacing w:after="0" w:line="240" w:lineRule="auto"/>
        <w:ind w:left="720" w:hanging="720"/>
        <w:jc w:val="both"/>
        <w:rPr>
          <w:rFonts w:ascii="Palatino Linotype" w:hAnsi="Palatino Linotype"/>
        </w:rPr>
      </w:pPr>
      <w:proofErr w:type="spellStart"/>
      <w:r w:rsidRPr="00C340F5">
        <w:rPr>
          <w:rFonts w:ascii="Palatino Linotype" w:hAnsi="Palatino Linotype"/>
        </w:rPr>
        <w:t>Pesaran</w:t>
      </w:r>
      <w:proofErr w:type="spellEnd"/>
      <w:r w:rsidRPr="00C340F5">
        <w:rPr>
          <w:rFonts w:ascii="Palatino Linotype" w:hAnsi="Palatino Linotype"/>
        </w:rPr>
        <w:t xml:space="preserve">, M.H., Shin, Y.  &amp; Smith, R. J. (2001). Bounds testing approaches to the analysis of level relationships. </w:t>
      </w:r>
      <w:r w:rsidRPr="00C340F5">
        <w:rPr>
          <w:rFonts w:ascii="Palatino Linotype" w:hAnsi="Palatino Linotype"/>
          <w:i/>
        </w:rPr>
        <w:t>Journal of Applied Econometrics, 16</w:t>
      </w:r>
      <w:r w:rsidRPr="00C340F5">
        <w:rPr>
          <w:rFonts w:ascii="Palatino Linotype" w:hAnsi="Palatino Linotype"/>
        </w:rPr>
        <w:t>: 289–326.</w:t>
      </w:r>
    </w:p>
    <w:p w:rsidR="00A81540" w:rsidRPr="00C340F5" w:rsidRDefault="00A81540" w:rsidP="009E21FA">
      <w:pPr>
        <w:spacing w:after="0" w:line="240" w:lineRule="auto"/>
        <w:ind w:left="720" w:hanging="720"/>
        <w:jc w:val="both"/>
        <w:rPr>
          <w:rFonts w:ascii="Palatino Linotype" w:eastAsiaTheme="minorHAnsi" w:hAnsi="Palatino Linotype"/>
        </w:rPr>
      </w:pPr>
      <w:proofErr w:type="spellStart"/>
      <w:r w:rsidRPr="00C340F5">
        <w:rPr>
          <w:rFonts w:ascii="Palatino Linotype" w:eastAsiaTheme="minorHAnsi" w:hAnsi="Palatino Linotype"/>
        </w:rPr>
        <w:t>Romer</w:t>
      </w:r>
      <w:proofErr w:type="spellEnd"/>
      <w:r w:rsidRPr="00C340F5">
        <w:rPr>
          <w:rFonts w:ascii="Palatino Linotype" w:eastAsiaTheme="minorHAnsi" w:hAnsi="Palatino Linotype"/>
        </w:rPr>
        <w:t xml:space="preserve">, P. M. (1994). The origins of endogenous growth. </w:t>
      </w:r>
      <w:r w:rsidRPr="00C340F5">
        <w:rPr>
          <w:rFonts w:ascii="Palatino Linotype" w:eastAsiaTheme="minorHAnsi" w:hAnsi="Palatino Linotype"/>
          <w:i/>
        </w:rPr>
        <w:t>Journal of Economic Perspectives, 8</w:t>
      </w:r>
      <w:r w:rsidR="009E21FA">
        <w:rPr>
          <w:rFonts w:ascii="Palatino Linotype" w:eastAsiaTheme="minorHAnsi" w:hAnsi="Palatino Linotype"/>
        </w:rPr>
        <w:t xml:space="preserve">(1): </w:t>
      </w:r>
      <w:r w:rsidRPr="00C340F5">
        <w:rPr>
          <w:rFonts w:ascii="Palatino Linotype" w:eastAsiaTheme="minorHAnsi" w:hAnsi="Palatino Linotype"/>
        </w:rPr>
        <w:t>3-22.</w:t>
      </w:r>
    </w:p>
    <w:p w:rsidR="00A81540" w:rsidRPr="00C340F5" w:rsidRDefault="00A81540" w:rsidP="009E21FA">
      <w:pPr>
        <w:spacing w:after="0" w:line="240" w:lineRule="auto"/>
        <w:ind w:left="720" w:hanging="720"/>
        <w:rPr>
          <w:rFonts w:ascii="Palatino Linotype" w:hAnsi="Palatino Linotype"/>
        </w:rPr>
      </w:pPr>
      <w:proofErr w:type="spellStart"/>
      <w:r w:rsidRPr="00C340F5">
        <w:rPr>
          <w:rFonts w:ascii="Palatino Linotype" w:hAnsi="Palatino Linotype"/>
        </w:rPr>
        <w:t>Romer</w:t>
      </w:r>
      <w:proofErr w:type="spellEnd"/>
      <w:r w:rsidRPr="00C340F5">
        <w:rPr>
          <w:rFonts w:ascii="Palatino Linotype" w:hAnsi="Palatino Linotype"/>
        </w:rPr>
        <w:t xml:space="preserve">, P.M. (1990). Endogenous technological </w:t>
      </w:r>
      <w:proofErr w:type="spellStart"/>
      <w:r w:rsidRPr="00C340F5">
        <w:rPr>
          <w:rFonts w:ascii="Palatino Linotype" w:hAnsi="Palatino Linotype"/>
        </w:rPr>
        <w:t>change.</w:t>
      </w:r>
      <w:r w:rsidRPr="00C340F5">
        <w:rPr>
          <w:rFonts w:ascii="Palatino Linotype" w:hAnsi="Palatino Linotype"/>
          <w:i/>
        </w:rPr>
        <w:t>The</w:t>
      </w:r>
      <w:proofErr w:type="spellEnd"/>
      <w:r w:rsidRPr="00C340F5">
        <w:rPr>
          <w:rFonts w:ascii="Palatino Linotype" w:hAnsi="Palatino Linotype"/>
          <w:i/>
        </w:rPr>
        <w:t xml:space="preserve"> journal of Political Economy</w:t>
      </w:r>
      <w:r w:rsidRPr="00C340F5">
        <w:rPr>
          <w:rFonts w:ascii="Palatino Linotype" w:hAnsi="Palatino Linotype"/>
        </w:rPr>
        <w:t>, 98(5), 71-102.</w:t>
      </w:r>
    </w:p>
    <w:p w:rsidR="00A81540" w:rsidRPr="00C340F5" w:rsidRDefault="00A81540" w:rsidP="009E21FA">
      <w:pPr>
        <w:spacing w:after="0" w:line="240" w:lineRule="auto"/>
        <w:ind w:left="720" w:hanging="720"/>
        <w:jc w:val="both"/>
        <w:rPr>
          <w:rFonts w:ascii="Palatino Linotype" w:eastAsiaTheme="minorHAnsi" w:hAnsi="Palatino Linotype"/>
        </w:rPr>
      </w:pPr>
      <w:r w:rsidRPr="00C340F5">
        <w:rPr>
          <w:rFonts w:ascii="Palatino Linotype" w:eastAsiaTheme="minorHAnsi" w:hAnsi="Palatino Linotype"/>
        </w:rPr>
        <w:t xml:space="preserve">Solow, R. (1956). A contribution to the theory of economic growth. </w:t>
      </w:r>
      <w:r w:rsidR="009E21FA">
        <w:rPr>
          <w:rFonts w:ascii="Palatino Linotype" w:eastAsiaTheme="minorHAnsi" w:hAnsi="Palatino Linotype"/>
          <w:i/>
        </w:rPr>
        <w:t xml:space="preserve">Quarterly Journal of </w:t>
      </w:r>
      <w:r w:rsidRPr="00C340F5">
        <w:rPr>
          <w:rFonts w:ascii="Palatino Linotype" w:eastAsiaTheme="minorHAnsi" w:hAnsi="Palatino Linotype"/>
          <w:i/>
        </w:rPr>
        <w:t>Economics, 70</w:t>
      </w:r>
      <w:r w:rsidRPr="00C340F5">
        <w:rPr>
          <w:rFonts w:ascii="Palatino Linotype" w:eastAsiaTheme="minorHAnsi" w:hAnsi="Palatino Linotype"/>
        </w:rPr>
        <w:t>: 65-94.</w:t>
      </w:r>
    </w:p>
    <w:p w:rsidR="00A81540" w:rsidRPr="00C340F5" w:rsidRDefault="00A81540" w:rsidP="009E21FA">
      <w:pPr>
        <w:pStyle w:val="NoSpacing"/>
        <w:ind w:left="720" w:hanging="720"/>
        <w:jc w:val="both"/>
        <w:rPr>
          <w:rFonts w:ascii="Palatino Linotype" w:eastAsiaTheme="minorHAnsi" w:hAnsi="Palatino Linotype"/>
        </w:rPr>
      </w:pPr>
      <w:proofErr w:type="spellStart"/>
      <w:r w:rsidRPr="00C340F5">
        <w:rPr>
          <w:rFonts w:ascii="Palatino Linotype" w:eastAsiaTheme="minorHAnsi" w:hAnsi="Palatino Linotype"/>
        </w:rPr>
        <w:t>Umeora</w:t>
      </w:r>
      <w:proofErr w:type="spellEnd"/>
      <w:r w:rsidRPr="00C340F5">
        <w:rPr>
          <w:rFonts w:ascii="Palatino Linotype" w:eastAsiaTheme="minorHAnsi" w:hAnsi="Palatino Linotype"/>
        </w:rPr>
        <w:t xml:space="preserve">, C.E. (2013). Accumulation of external reserves and effects on exchange rates and inflation in Nigeria. </w:t>
      </w:r>
      <w:r w:rsidRPr="00C340F5">
        <w:rPr>
          <w:rFonts w:ascii="Palatino Linotype" w:eastAsiaTheme="minorHAnsi" w:hAnsi="Palatino Linotype"/>
          <w:i/>
        </w:rPr>
        <w:t>International Business and Management, 6</w:t>
      </w:r>
      <w:r w:rsidRPr="00C340F5">
        <w:rPr>
          <w:rFonts w:ascii="Palatino Linotype" w:eastAsiaTheme="minorHAnsi" w:hAnsi="Palatino Linotype"/>
        </w:rPr>
        <w:t>(2): 105-114.</w:t>
      </w:r>
    </w:p>
    <w:p w:rsidR="00A81540" w:rsidRPr="00C340F5" w:rsidRDefault="00A81540" w:rsidP="009E21FA">
      <w:pPr>
        <w:spacing w:after="0" w:line="240" w:lineRule="auto"/>
        <w:ind w:left="720" w:hanging="720"/>
        <w:rPr>
          <w:rFonts w:ascii="Palatino Linotype" w:hAnsi="Palatino Linotype"/>
        </w:rPr>
      </w:pPr>
    </w:p>
    <w:p w:rsidR="00A81540" w:rsidRPr="00C340F5" w:rsidRDefault="00A81540" w:rsidP="009E21FA">
      <w:pPr>
        <w:spacing w:after="0" w:line="240" w:lineRule="auto"/>
        <w:ind w:left="720" w:hanging="720"/>
        <w:rPr>
          <w:rFonts w:ascii="Palatino Linotype" w:hAnsi="Palatino Linotype"/>
        </w:rPr>
      </w:pPr>
    </w:p>
    <w:p w:rsidR="00B7622C" w:rsidRPr="00C340F5" w:rsidRDefault="00B7622C" w:rsidP="009E21FA">
      <w:pPr>
        <w:spacing w:after="0" w:line="240" w:lineRule="auto"/>
        <w:ind w:left="720" w:hanging="720"/>
        <w:rPr>
          <w:rFonts w:ascii="Palatino Linotype" w:hAnsi="Palatino Linotype"/>
        </w:rPr>
      </w:pPr>
    </w:p>
    <w:sectPr w:rsidR="00B7622C" w:rsidRPr="00C340F5" w:rsidSect="00C340F5">
      <w:headerReference w:type="default" r:id="rId24"/>
      <w:footerReference w:type="even" r:id="rId25"/>
      <w:footerReference w:type="default" r:id="rId26"/>
      <w:footerReference w:type="first" r:id="rId27"/>
      <w:pgSz w:w="11906" w:h="16838" w:code="9"/>
      <w:pgMar w:top="1440" w:right="1440" w:bottom="1440" w:left="1440" w:header="1008" w:footer="720" w:gutter="0"/>
      <w:pgNumType w:start="26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6A3" w:rsidRDefault="002B66A3" w:rsidP="003A5B2D">
      <w:pPr>
        <w:spacing w:after="0" w:line="240" w:lineRule="auto"/>
      </w:pPr>
      <w:r>
        <w:separator/>
      </w:r>
    </w:p>
  </w:endnote>
  <w:endnote w:type="continuationSeparator" w:id="0">
    <w:p w:rsidR="002B66A3" w:rsidRDefault="002B66A3" w:rsidP="003A5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Futura Std">
    <w:altName w:val="Futura Std"/>
    <w:charset w:val="00"/>
    <w:family w:val="swiss"/>
    <w:pitch w:val="default"/>
    <w:sig w:usb0="00000003" w:usb1="00000000" w:usb2="00000000" w:usb3="00000000" w:csb0="00000001" w:csb1="00000000"/>
  </w:font>
  <w:font w:name="HelveticaNeueLT Com 55 Roman">
    <w:altName w:val="HelveticaNeueLT Com 55 Roman"/>
    <w:charset w:val="00"/>
    <w:family w:val="roman"/>
    <w:pitch w:val="default"/>
    <w:sig w:usb0="00000003" w:usb1="00000000" w:usb2="00000000" w:usb3="00000000" w:csb0="00000001" w:csb1="00000000"/>
  </w:font>
  <w:font w:name="Times LT Std">
    <w:altName w:val="Times New Roman"/>
    <w:charset w:val="00"/>
    <w:family w:val="roman"/>
    <w:pitch w:val="variable"/>
    <w:sig w:usb0="00000000" w:usb1="80000000" w:usb2="00000008"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5E8" w:rsidRDefault="00B645E8">
    <w:pPr>
      <w:pStyle w:val="Footer"/>
    </w:pPr>
  </w:p>
  <w:p w:rsidR="00B645E8" w:rsidRDefault="00B645E8"/>
  <w:p w:rsidR="00B645E8" w:rsidRDefault="00B645E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4"/>
        <w:szCs w:val="14"/>
      </w:rPr>
      <w:id w:val="-375937803"/>
      <w:docPartObj>
        <w:docPartGallery w:val="Page Numbers (Bottom of Page)"/>
        <w:docPartUnique/>
      </w:docPartObj>
    </w:sdtPr>
    <w:sdtEndPr>
      <w:rPr>
        <w:noProof/>
        <w:sz w:val="22"/>
        <w:szCs w:val="22"/>
      </w:rPr>
    </w:sdtEndPr>
    <w:sdtContent>
      <w:p w:rsidR="00B645E8" w:rsidRPr="00B7622C" w:rsidRDefault="00C340F5" w:rsidP="00FA5A11">
        <w:pPr>
          <w:spacing w:after="0" w:line="240" w:lineRule="auto"/>
          <w:rPr>
            <w:rFonts w:ascii="Palatino Linotype" w:eastAsia="Times New Roman" w:hAnsi="Palatino Linotype"/>
            <w:noProof/>
            <w:sz w:val="14"/>
            <w:szCs w:val="16"/>
          </w:rPr>
        </w:pPr>
        <w:r w:rsidRPr="00C340F5">
          <w:rPr>
            <w:rFonts w:ascii="Palatino Linotype" w:eastAsiaTheme="minorHAnsi" w:hAnsi="Palatino Linotype"/>
            <w:sz w:val="14"/>
          </w:rPr>
          <w:t>EXTERNAL RESERVE MANAGEMENT AND ECONOMIC GROWTH: EMPIRICAL EVIDENCE FROM NIGERIA</w:t>
        </w:r>
        <w:r w:rsidR="00FA5A11">
          <w:rPr>
            <w:rFonts w:ascii="Palatino Linotype" w:hAnsi="Palatino Linotype"/>
            <w:sz w:val="14"/>
          </w:rPr>
          <w:tab/>
        </w:r>
        <w:r w:rsidR="00B645E8">
          <w:rPr>
            <w:rFonts w:ascii="Palatino Linotype" w:hAnsi="Palatino Linotype" w:cs="Arial"/>
            <w:sz w:val="14"/>
          </w:rPr>
          <w:tab/>
        </w:r>
        <w:r w:rsidR="00B645E8">
          <w:tab/>
        </w:r>
        <w:r w:rsidR="00B645E8">
          <w:fldChar w:fldCharType="begin"/>
        </w:r>
        <w:r w:rsidR="00B645E8">
          <w:instrText xml:space="preserve"> PAGE   \* MERGEFORMAT </w:instrText>
        </w:r>
        <w:r w:rsidR="00B645E8">
          <w:fldChar w:fldCharType="separate"/>
        </w:r>
        <w:r w:rsidR="00CF0C08">
          <w:rPr>
            <w:noProof/>
          </w:rPr>
          <w:t>279</w:t>
        </w:r>
        <w:r w:rsidR="00B645E8">
          <w:rPr>
            <w:noProof/>
          </w:rPr>
          <w:fldChar w:fldCharType="end"/>
        </w:r>
      </w:p>
      <w:p w:rsidR="00B645E8" w:rsidRPr="005F03AA" w:rsidRDefault="002B66A3" w:rsidP="005F03AA">
        <w:pPr>
          <w:spacing w:after="0" w:line="240" w:lineRule="auto"/>
          <w:rPr>
            <w:rFonts w:ascii="Palatino Linotype" w:hAnsi="Palatino Linotype"/>
            <w:b/>
            <w:sz w:val="16"/>
            <w:szCs w:val="16"/>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6221783"/>
      <w:docPartObj>
        <w:docPartGallery w:val="Page Numbers (Bottom of Page)"/>
        <w:docPartUnique/>
      </w:docPartObj>
    </w:sdtPr>
    <w:sdtEndPr>
      <w:rPr>
        <w:noProof/>
      </w:rPr>
    </w:sdtEndPr>
    <w:sdtContent>
      <w:p w:rsidR="00B645E8" w:rsidRDefault="00B645E8" w:rsidP="002D3E08">
        <w:pPr>
          <w:spacing w:after="0" w:line="240" w:lineRule="auto"/>
          <w:rPr>
            <w:noProof/>
          </w:rPr>
        </w:pPr>
        <w:r w:rsidRPr="0001710E">
          <w:rPr>
            <w:rFonts w:ascii="Palatino Linotype" w:hAnsi="Palatino Linotype"/>
            <w:b/>
            <w:sz w:val="16"/>
            <w:szCs w:val="16"/>
          </w:rPr>
          <w:t>INFLUENCE OF SOCIO-ECONOMIC STATUS OF PARENTS ON THE ACADEMIC PERFORMANCE</w:t>
        </w:r>
        <w:r w:rsidRPr="005F03AA">
          <w:rPr>
            <w:rFonts w:ascii="Palatino Linotype" w:hAnsi="Palatino Linotype"/>
            <w:b/>
            <w:sz w:val="16"/>
            <w:szCs w:val="16"/>
          </w:rPr>
          <w:t xml:space="preserve"> …</w:t>
        </w:r>
        <w:r>
          <w:rPr>
            <w:rFonts w:ascii="Palatino Linotype" w:hAnsi="Palatino Linotype"/>
            <w:b/>
            <w:sz w:val="16"/>
            <w:szCs w:val="16"/>
          </w:rPr>
          <w:tab/>
        </w:r>
        <w:r>
          <w:rPr>
            <w:rFonts w:ascii="Palatino Linotype" w:hAnsi="Palatino Linotype"/>
            <w:b/>
            <w:sz w:val="16"/>
            <w:szCs w:val="16"/>
          </w:rPr>
          <w:tab/>
        </w:r>
        <w:r>
          <w:fldChar w:fldCharType="begin"/>
        </w:r>
        <w:r>
          <w:instrText xml:space="preserve"> PAGE   \* MERGEFORMAT </w:instrText>
        </w:r>
        <w:r>
          <w:fldChar w:fldCharType="separate"/>
        </w:r>
        <w:r>
          <w:rPr>
            <w:noProof/>
          </w:rPr>
          <w:t>1</w:t>
        </w:r>
        <w:r>
          <w:rPr>
            <w:noProof/>
          </w:rPr>
          <w:fldChar w:fldCharType="end"/>
        </w:r>
      </w:p>
      <w:p w:rsidR="00B645E8" w:rsidRDefault="002B66A3" w:rsidP="002D3E08">
        <w:pPr>
          <w:spacing w:after="0" w:line="240" w:lineRule="auto"/>
          <w:rPr>
            <w:noProof/>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6A3" w:rsidRDefault="002B66A3" w:rsidP="003A5B2D">
      <w:pPr>
        <w:spacing w:after="0" w:line="240" w:lineRule="auto"/>
      </w:pPr>
      <w:r>
        <w:separator/>
      </w:r>
    </w:p>
  </w:footnote>
  <w:footnote w:type="continuationSeparator" w:id="0">
    <w:p w:rsidR="002B66A3" w:rsidRDefault="002B66A3" w:rsidP="003A5B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5E8" w:rsidRDefault="00B645E8" w:rsidP="00FA1C99">
    <w:pPr>
      <w:pStyle w:val="Header"/>
      <w:rPr>
        <w:rFonts w:ascii="Palatino Linotype" w:hAnsi="Palatino Linotype"/>
        <w:b/>
        <w:i/>
        <w:sz w:val="16"/>
        <w:szCs w:val="16"/>
      </w:rPr>
    </w:pPr>
    <w:r w:rsidRPr="00FA1C99">
      <w:rPr>
        <w:rFonts w:ascii="Palatino Linotype" w:hAnsi="Palatino Linotype"/>
        <w:b/>
        <w:i/>
        <w:sz w:val="16"/>
        <w:szCs w:val="16"/>
      </w:rPr>
      <w:t>International Journal of Management, Social Sciences, Peace and Co</w:t>
    </w:r>
    <w:r>
      <w:rPr>
        <w:rFonts w:ascii="Palatino Linotype" w:hAnsi="Palatino Linotype"/>
        <w:b/>
        <w:i/>
        <w:sz w:val="16"/>
        <w:szCs w:val="16"/>
      </w:rPr>
      <w:t>nflict Studies (IJMSSPCS), Vol.6 No.1 March, 2023</w:t>
    </w:r>
    <w:r w:rsidRPr="00FA1C99">
      <w:rPr>
        <w:rFonts w:ascii="Palatino Linotype" w:hAnsi="Palatino Linotype"/>
        <w:b/>
        <w:i/>
        <w:sz w:val="16"/>
        <w:szCs w:val="16"/>
      </w:rPr>
      <w:t xml:space="preserve">; </w:t>
    </w:r>
  </w:p>
  <w:p w:rsidR="00B645E8" w:rsidRDefault="00B645E8" w:rsidP="00450E71">
    <w:pPr>
      <w:pStyle w:val="Header"/>
      <w:rPr>
        <w:rFonts w:ascii="Palatino Linotype" w:hAnsi="Palatino Linotype"/>
        <w:b/>
        <w:i/>
        <w:sz w:val="16"/>
        <w:szCs w:val="16"/>
      </w:rPr>
    </w:pPr>
    <w:proofErr w:type="spellStart"/>
    <w:r>
      <w:rPr>
        <w:rFonts w:ascii="Palatino Linotype" w:hAnsi="Palatino Linotype"/>
        <w:b/>
        <w:i/>
        <w:sz w:val="16"/>
        <w:szCs w:val="16"/>
      </w:rPr>
      <w:t>p.g</w:t>
    </w:r>
    <w:proofErr w:type="spellEnd"/>
    <w:r>
      <w:rPr>
        <w:rFonts w:ascii="Palatino Linotype" w:hAnsi="Palatino Linotype"/>
        <w:b/>
        <w:i/>
        <w:sz w:val="16"/>
        <w:szCs w:val="16"/>
      </w:rPr>
      <w:t xml:space="preserve">.  </w:t>
    </w:r>
    <w:r w:rsidR="009E21FA">
      <w:rPr>
        <w:rFonts w:ascii="Palatino Linotype" w:hAnsi="Palatino Linotype"/>
        <w:b/>
        <w:i/>
        <w:sz w:val="16"/>
        <w:szCs w:val="16"/>
      </w:rPr>
      <w:t>267</w:t>
    </w:r>
    <w:r>
      <w:rPr>
        <w:rFonts w:ascii="Palatino Linotype" w:hAnsi="Palatino Linotype"/>
        <w:b/>
        <w:i/>
        <w:sz w:val="16"/>
        <w:szCs w:val="16"/>
      </w:rPr>
      <w:t xml:space="preserve">- </w:t>
    </w:r>
    <w:r w:rsidR="009E21FA">
      <w:rPr>
        <w:rFonts w:ascii="Palatino Linotype" w:hAnsi="Palatino Linotype"/>
        <w:b/>
        <w:i/>
        <w:sz w:val="16"/>
        <w:szCs w:val="16"/>
      </w:rPr>
      <w:t>279</w:t>
    </w:r>
    <w:r w:rsidRPr="00FA1C99">
      <w:rPr>
        <w:rFonts w:ascii="Palatino Linotype" w:hAnsi="Palatino Linotype"/>
        <w:b/>
        <w:i/>
        <w:sz w:val="16"/>
        <w:szCs w:val="16"/>
      </w:rPr>
      <w:t xml:space="preserve">; ISSN: 2682-6135 </w:t>
    </w:r>
  </w:p>
  <w:p w:rsidR="00B645E8" w:rsidRPr="00450E71" w:rsidRDefault="00B645E8" w:rsidP="00450E71">
    <w:pPr>
      <w:pStyle w:val="Header"/>
      <w:rPr>
        <w:rFonts w:ascii="Palatino Linotype" w:eastAsiaTheme="minorEastAsia" w:hAnsi="Palatino Linotype"/>
        <w:b/>
        <w:i/>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0FE"/>
    <w:rsid w:val="00013A21"/>
    <w:rsid w:val="0001454A"/>
    <w:rsid w:val="00016F35"/>
    <w:rsid w:val="0001710E"/>
    <w:rsid w:val="00026B55"/>
    <w:rsid w:val="00027048"/>
    <w:rsid w:val="0003014F"/>
    <w:rsid w:val="000364EE"/>
    <w:rsid w:val="00040458"/>
    <w:rsid w:val="00041A44"/>
    <w:rsid w:val="000503BB"/>
    <w:rsid w:val="00050A07"/>
    <w:rsid w:val="00051C50"/>
    <w:rsid w:val="00051E29"/>
    <w:rsid w:val="000616E8"/>
    <w:rsid w:val="000625B1"/>
    <w:rsid w:val="00071E81"/>
    <w:rsid w:val="00075F84"/>
    <w:rsid w:val="00086211"/>
    <w:rsid w:val="00087CEE"/>
    <w:rsid w:val="00091C91"/>
    <w:rsid w:val="00095BCF"/>
    <w:rsid w:val="000A19CD"/>
    <w:rsid w:val="000A1C0D"/>
    <w:rsid w:val="000A1C99"/>
    <w:rsid w:val="000A5A21"/>
    <w:rsid w:val="000B4A21"/>
    <w:rsid w:val="000C3D74"/>
    <w:rsid w:val="000E031A"/>
    <w:rsid w:val="000E16C7"/>
    <w:rsid w:val="000E2A64"/>
    <w:rsid w:val="000E38F0"/>
    <w:rsid w:val="00102BF7"/>
    <w:rsid w:val="0010755E"/>
    <w:rsid w:val="00130281"/>
    <w:rsid w:val="001407B0"/>
    <w:rsid w:val="00140961"/>
    <w:rsid w:val="00141397"/>
    <w:rsid w:val="0014224A"/>
    <w:rsid w:val="00145396"/>
    <w:rsid w:val="00145CEF"/>
    <w:rsid w:val="00161207"/>
    <w:rsid w:val="00162CD1"/>
    <w:rsid w:val="00163BD6"/>
    <w:rsid w:val="00174423"/>
    <w:rsid w:val="0017581F"/>
    <w:rsid w:val="00180BBF"/>
    <w:rsid w:val="00184E74"/>
    <w:rsid w:val="0018522F"/>
    <w:rsid w:val="00186116"/>
    <w:rsid w:val="001876CD"/>
    <w:rsid w:val="00193412"/>
    <w:rsid w:val="00193B30"/>
    <w:rsid w:val="00196A3A"/>
    <w:rsid w:val="0019712D"/>
    <w:rsid w:val="001B0C1D"/>
    <w:rsid w:val="001B10E1"/>
    <w:rsid w:val="001B186F"/>
    <w:rsid w:val="001B431E"/>
    <w:rsid w:val="001B515B"/>
    <w:rsid w:val="001B5C31"/>
    <w:rsid w:val="001B65FC"/>
    <w:rsid w:val="001B755B"/>
    <w:rsid w:val="001C3932"/>
    <w:rsid w:val="001C3CE7"/>
    <w:rsid w:val="001C4520"/>
    <w:rsid w:val="001D48E6"/>
    <w:rsid w:val="001D67A1"/>
    <w:rsid w:val="001D6CD8"/>
    <w:rsid w:val="001D7897"/>
    <w:rsid w:val="001E7FA3"/>
    <w:rsid w:val="001F0724"/>
    <w:rsid w:val="001F6AF2"/>
    <w:rsid w:val="00210C1C"/>
    <w:rsid w:val="00210DE1"/>
    <w:rsid w:val="002201A0"/>
    <w:rsid w:val="00220299"/>
    <w:rsid w:val="002237EC"/>
    <w:rsid w:val="00230335"/>
    <w:rsid w:val="002310E1"/>
    <w:rsid w:val="00237C68"/>
    <w:rsid w:val="00242F19"/>
    <w:rsid w:val="00246615"/>
    <w:rsid w:val="00261EA1"/>
    <w:rsid w:val="00286F8F"/>
    <w:rsid w:val="00287B2D"/>
    <w:rsid w:val="00292BB5"/>
    <w:rsid w:val="00295EE7"/>
    <w:rsid w:val="002960FF"/>
    <w:rsid w:val="002A0F2D"/>
    <w:rsid w:val="002A6B55"/>
    <w:rsid w:val="002B1AA6"/>
    <w:rsid w:val="002B2973"/>
    <w:rsid w:val="002B66A3"/>
    <w:rsid w:val="002C0464"/>
    <w:rsid w:val="002C7F13"/>
    <w:rsid w:val="002D3E08"/>
    <w:rsid w:val="002E0142"/>
    <w:rsid w:val="002E64FB"/>
    <w:rsid w:val="002F264B"/>
    <w:rsid w:val="002F35AD"/>
    <w:rsid w:val="00301F7F"/>
    <w:rsid w:val="0030216E"/>
    <w:rsid w:val="00311D87"/>
    <w:rsid w:val="00315C54"/>
    <w:rsid w:val="0032222D"/>
    <w:rsid w:val="00323BDB"/>
    <w:rsid w:val="00331C9E"/>
    <w:rsid w:val="0033719E"/>
    <w:rsid w:val="003405BC"/>
    <w:rsid w:val="0034413A"/>
    <w:rsid w:val="00344DAA"/>
    <w:rsid w:val="0036616B"/>
    <w:rsid w:val="003858F2"/>
    <w:rsid w:val="003907CC"/>
    <w:rsid w:val="00395FA1"/>
    <w:rsid w:val="00397E76"/>
    <w:rsid w:val="003A1783"/>
    <w:rsid w:val="003A1DE4"/>
    <w:rsid w:val="003A25F8"/>
    <w:rsid w:val="003A5476"/>
    <w:rsid w:val="003A5B2D"/>
    <w:rsid w:val="003A6342"/>
    <w:rsid w:val="003B18CB"/>
    <w:rsid w:val="003B4836"/>
    <w:rsid w:val="003C4693"/>
    <w:rsid w:val="003C495A"/>
    <w:rsid w:val="003C4A78"/>
    <w:rsid w:val="003D361F"/>
    <w:rsid w:val="003D3CA4"/>
    <w:rsid w:val="003D6292"/>
    <w:rsid w:val="003E763B"/>
    <w:rsid w:val="003F4C7B"/>
    <w:rsid w:val="00406884"/>
    <w:rsid w:val="00420CFC"/>
    <w:rsid w:val="004228E7"/>
    <w:rsid w:val="004235EA"/>
    <w:rsid w:val="00430511"/>
    <w:rsid w:val="0043244C"/>
    <w:rsid w:val="004332C1"/>
    <w:rsid w:val="00437D65"/>
    <w:rsid w:val="00442257"/>
    <w:rsid w:val="00443BBE"/>
    <w:rsid w:val="0044679D"/>
    <w:rsid w:val="00450E71"/>
    <w:rsid w:val="00454894"/>
    <w:rsid w:val="00454BF9"/>
    <w:rsid w:val="00457AF0"/>
    <w:rsid w:val="00464B6B"/>
    <w:rsid w:val="0047239C"/>
    <w:rsid w:val="004738D7"/>
    <w:rsid w:val="00481B75"/>
    <w:rsid w:val="00484B13"/>
    <w:rsid w:val="00490DF8"/>
    <w:rsid w:val="00492419"/>
    <w:rsid w:val="0049508A"/>
    <w:rsid w:val="00497EE5"/>
    <w:rsid w:val="004A35B8"/>
    <w:rsid w:val="004A3730"/>
    <w:rsid w:val="004A6888"/>
    <w:rsid w:val="004B5AD1"/>
    <w:rsid w:val="004C0A8C"/>
    <w:rsid w:val="004C3BDE"/>
    <w:rsid w:val="004C4467"/>
    <w:rsid w:val="004C77B8"/>
    <w:rsid w:val="004D5D61"/>
    <w:rsid w:val="004E5A03"/>
    <w:rsid w:val="004F2113"/>
    <w:rsid w:val="004F5CBC"/>
    <w:rsid w:val="004F5DDC"/>
    <w:rsid w:val="005130F9"/>
    <w:rsid w:val="00513487"/>
    <w:rsid w:val="00522B04"/>
    <w:rsid w:val="00523431"/>
    <w:rsid w:val="00527136"/>
    <w:rsid w:val="00527371"/>
    <w:rsid w:val="005301A3"/>
    <w:rsid w:val="00535FB3"/>
    <w:rsid w:val="0053645D"/>
    <w:rsid w:val="005425EF"/>
    <w:rsid w:val="005574EE"/>
    <w:rsid w:val="00570B9C"/>
    <w:rsid w:val="00587709"/>
    <w:rsid w:val="00590817"/>
    <w:rsid w:val="005924F5"/>
    <w:rsid w:val="005931CC"/>
    <w:rsid w:val="00593CBE"/>
    <w:rsid w:val="0059423D"/>
    <w:rsid w:val="0059685B"/>
    <w:rsid w:val="005A0413"/>
    <w:rsid w:val="005A22C7"/>
    <w:rsid w:val="005A2947"/>
    <w:rsid w:val="005D0AC6"/>
    <w:rsid w:val="005F03AA"/>
    <w:rsid w:val="005F2ED0"/>
    <w:rsid w:val="00610F5B"/>
    <w:rsid w:val="00615407"/>
    <w:rsid w:val="00620A82"/>
    <w:rsid w:val="00627577"/>
    <w:rsid w:val="006362E5"/>
    <w:rsid w:val="006526E9"/>
    <w:rsid w:val="00652D5C"/>
    <w:rsid w:val="00653CD1"/>
    <w:rsid w:val="00655027"/>
    <w:rsid w:val="0066456D"/>
    <w:rsid w:val="0067087E"/>
    <w:rsid w:val="00672A50"/>
    <w:rsid w:val="00675328"/>
    <w:rsid w:val="00675F18"/>
    <w:rsid w:val="0068066B"/>
    <w:rsid w:val="00695024"/>
    <w:rsid w:val="006A000D"/>
    <w:rsid w:val="006A220E"/>
    <w:rsid w:val="006A4C53"/>
    <w:rsid w:val="006A516A"/>
    <w:rsid w:val="006A5860"/>
    <w:rsid w:val="006B4E63"/>
    <w:rsid w:val="006C080F"/>
    <w:rsid w:val="006C5A47"/>
    <w:rsid w:val="006E4F87"/>
    <w:rsid w:val="006E70C1"/>
    <w:rsid w:val="006F173E"/>
    <w:rsid w:val="006F44EF"/>
    <w:rsid w:val="006F4C06"/>
    <w:rsid w:val="006F6352"/>
    <w:rsid w:val="006F7114"/>
    <w:rsid w:val="006F76C0"/>
    <w:rsid w:val="007048E6"/>
    <w:rsid w:val="00704DA1"/>
    <w:rsid w:val="00705F84"/>
    <w:rsid w:val="007120FE"/>
    <w:rsid w:val="00712888"/>
    <w:rsid w:val="00713FE9"/>
    <w:rsid w:val="00726FF0"/>
    <w:rsid w:val="0073032D"/>
    <w:rsid w:val="007537CC"/>
    <w:rsid w:val="00754860"/>
    <w:rsid w:val="00756665"/>
    <w:rsid w:val="007717A7"/>
    <w:rsid w:val="00775B05"/>
    <w:rsid w:val="0078089F"/>
    <w:rsid w:val="00785820"/>
    <w:rsid w:val="0079760E"/>
    <w:rsid w:val="007A0420"/>
    <w:rsid w:val="007A0B6A"/>
    <w:rsid w:val="007A5CE9"/>
    <w:rsid w:val="007B19D2"/>
    <w:rsid w:val="007B6D5B"/>
    <w:rsid w:val="007C15AA"/>
    <w:rsid w:val="007C30AD"/>
    <w:rsid w:val="007D436B"/>
    <w:rsid w:val="007F0820"/>
    <w:rsid w:val="007F2154"/>
    <w:rsid w:val="007F6D24"/>
    <w:rsid w:val="007F7E47"/>
    <w:rsid w:val="008032AD"/>
    <w:rsid w:val="00803EED"/>
    <w:rsid w:val="00813E04"/>
    <w:rsid w:val="00814EAC"/>
    <w:rsid w:val="008323AA"/>
    <w:rsid w:val="008329D2"/>
    <w:rsid w:val="00833185"/>
    <w:rsid w:val="008341B8"/>
    <w:rsid w:val="00837A70"/>
    <w:rsid w:val="00850BFC"/>
    <w:rsid w:val="00852585"/>
    <w:rsid w:val="008607C4"/>
    <w:rsid w:val="00862B75"/>
    <w:rsid w:val="00871530"/>
    <w:rsid w:val="00882322"/>
    <w:rsid w:val="00890D27"/>
    <w:rsid w:val="008A01BF"/>
    <w:rsid w:val="008A1B5F"/>
    <w:rsid w:val="008A68B2"/>
    <w:rsid w:val="008C0993"/>
    <w:rsid w:val="008C545A"/>
    <w:rsid w:val="008D1C5A"/>
    <w:rsid w:val="008D7EF5"/>
    <w:rsid w:val="008E2AD8"/>
    <w:rsid w:val="008E5F07"/>
    <w:rsid w:val="008E683C"/>
    <w:rsid w:val="008E6869"/>
    <w:rsid w:val="008F2239"/>
    <w:rsid w:val="008F313E"/>
    <w:rsid w:val="008F7A0A"/>
    <w:rsid w:val="00900EA1"/>
    <w:rsid w:val="00905DE0"/>
    <w:rsid w:val="009225D1"/>
    <w:rsid w:val="00924364"/>
    <w:rsid w:val="0095115E"/>
    <w:rsid w:val="0095764A"/>
    <w:rsid w:val="00960418"/>
    <w:rsid w:val="00960715"/>
    <w:rsid w:val="00972AAC"/>
    <w:rsid w:val="00972BBD"/>
    <w:rsid w:val="00973CB2"/>
    <w:rsid w:val="00973E7D"/>
    <w:rsid w:val="00980DEE"/>
    <w:rsid w:val="0098285E"/>
    <w:rsid w:val="009849E5"/>
    <w:rsid w:val="00984CC8"/>
    <w:rsid w:val="0098675E"/>
    <w:rsid w:val="00994667"/>
    <w:rsid w:val="009A18F1"/>
    <w:rsid w:val="009A2D36"/>
    <w:rsid w:val="009A547E"/>
    <w:rsid w:val="009B167B"/>
    <w:rsid w:val="009B5279"/>
    <w:rsid w:val="009B7909"/>
    <w:rsid w:val="009C6522"/>
    <w:rsid w:val="009C6C3E"/>
    <w:rsid w:val="009D60B0"/>
    <w:rsid w:val="009E21FA"/>
    <w:rsid w:val="009E3812"/>
    <w:rsid w:val="009E6466"/>
    <w:rsid w:val="009E6829"/>
    <w:rsid w:val="009F38C9"/>
    <w:rsid w:val="009F7798"/>
    <w:rsid w:val="00A0403E"/>
    <w:rsid w:val="00A359CA"/>
    <w:rsid w:val="00A41F12"/>
    <w:rsid w:val="00A42232"/>
    <w:rsid w:val="00A44D2D"/>
    <w:rsid w:val="00A472E8"/>
    <w:rsid w:val="00A535A7"/>
    <w:rsid w:val="00A57E77"/>
    <w:rsid w:val="00A60AC1"/>
    <w:rsid w:val="00A62736"/>
    <w:rsid w:val="00A62D2C"/>
    <w:rsid w:val="00A730B3"/>
    <w:rsid w:val="00A76B00"/>
    <w:rsid w:val="00A80E0A"/>
    <w:rsid w:val="00A81540"/>
    <w:rsid w:val="00A84EDD"/>
    <w:rsid w:val="00A86307"/>
    <w:rsid w:val="00A8788B"/>
    <w:rsid w:val="00A9021B"/>
    <w:rsid w:val="00A91675"/>
    <w:rsid w:val="00A9172A"/>
    <w:rsid w:val="00A9366D"/>
    <w:rsid w:val="00A9426A"/>
    <w:rsid w:val="00A95D28"/>
    <w:rsid w:val="00AA092D"/>
    <w:rsid w:val="00AA5776"/>
    <w:rsid w:val="00AA7BE4"/>
    <w:rsid w:val="00AB3DD7"/>
    <w:rsid w:val="00AB4108"/>
    <w:rsid w:val="00AC1D7C"/>
    <w:rsid w:val="00AC1F02"/>
    <w:rsid w:val="00AC4E2A"/>
    <w:rsid w:val="00AD26CF"/>
    <w:rsid w:val="00AD538D"/>
    <w:rsid w:val="00AE558C"/>
    <w:rsid w:val="00AE7F12"/>
    <w:rsid w:val="00AF1848"/>
    <w:rsid w:val="00AF3CD0"/>
    <w:rsid w:val="00AF4CF4"/>
    <w:rsid w:val="00B053BD"/>
    <w:rsid w:val="00B07C97"/>
    <w:rsid w:val="00B1420C"/>
    <w:rsid w:val="00B31A31"/>
    <w:rsid w:val="00B32C52"/>
    <w:rsid w:val="00B334AD"/>
    <w:rsid w:val="00B345F9"/>
    <w:rsid w:val="00B548CC"/>
    <w:rsid w:val="00B56B63"/>
    <w:rsid w:val="00B6141E"/>
    <w:rsid w:val="00B645E8"/>
    <w:rsid w:val="00B65B38"/>
    <w:rsid w:val="00B65D58"/>
    <w:rsid w:val="00B66328"/>
    <w:rsid w:val="00B71E3E"/>
    <w:rsid w:val="00B7622C"/>
    <w:rsid w:val="00B762B1"/>
    <w:rsid w:val="00B85617"/>
    <w:rsid w:val="00B8570A"/>
    <w:rsid w:val="00B87BD3"/>
    <w:rsid w:val="00B91FA3"/>
    <w:rsid w:val="00B93FCA"/>
    <w:rsid w:val="00BA7574"/>
    <w:rsid w:val="00BC7273"/>
    <w:rsid w:val="00BD0317"/>
    <w:rsid w:val="00BD0DA9"/>
    <w:rsid w:val="00BE2DB0"/>
    <w:rsid w:val="00BE326B"/>
    <w:rsid w:val="00BF0240"/>
    <w:rsid w:val="00BF3B0D"/>
    <w:rsid w:val="00BF7FC9"/>
    <w:rsid w:val="00C053AA"/>
    <w:rsid w:val="00C06DA1"/>
    <w:rsid w:val="00C14B05"/>
    <w:rsid w:val="00C14C5A"/>
    <w:rsid w:val="00C23D33"/>
    <w:rsid w:val="00C300C3"/>
    <w:rsid w:val="00C340F5"/>
    <w:rsid w:val="00C3531E"/>
    <w:rsid w:val="00C42F0A"/>
    <w:rsid w:val="00C44F39"/>
    <w:rsid w:val="00C5127F"/>
    <w:rsid w:val="00C547DC"/>
    <w:rsid w:val="00C60A4A"/>
    <w:rsid w:val="00C709C0"/>
    <w:rsid w:val="00C71C15"/>
    <w:rsid w:val="00C7264C"/>
    <w:rsid w:val="00C7624A"/>
    <w:rsid w:val="00C770D4"/>
    <w:rsid w:val="00C81A85"/>
    <w:rsid w:val="00C85DAC"/>
    <w:rsid w:val="00C90AA6"/>
    <w:rsid w:val="00C91ADF"/>
    <w:rsid w:val="00C92AFF"/>
    <w:rsid w:val="00C960DC"/>
    <w:rsid w:val="00CA6868"/>
    <w:rsid w:val="00CA6AA7"/>
    <w:rsid w:val="00CC3733"/>
    <w:rsid w:val="00CC5DFA"/>
    <w:rsid w:val="00CE2B30"/>
    <w:rsid w:val="00CE50FB"/>
    <w:rsid w:val="00CF0C08"/>
    <w:rsid w:val="00CF3CF9"/>
    <w:rsid w:val="00CF4292"/>
    <w:rsid w:val="00D0118C"/>
    <w:rsid w:val="00D12B44"/>
    <w:rsid w:val="00D17818"/>
    <w:rsid w:val="00D2752A"/>
    <w:rsid w:val="00D368BF"/>
    <w:rsid w:val="00D44AF2"/>
    <w:rsid w:val="00D53CEC"/>
    <w:rsid w:val="00D664DC"/>
    <w:rsid w:val="00D747D6"/>
    <w:rsid w:val="00D80912"/>
    <w:rsid w:val="00D81282"/>
    <w:rsid w:val="00D86969"/>
    <w:rsid w:val="00D90564"/>
    <w:rsid w:val="00D92295"/>
    <w:rsid w:val="00D93DCF"/>
    <w:rsid w:val="00DA12B7"/>
    <w:rsid w:val="00DA41BF"/>
    <w:rsid w:val="00DA540B"/>
    <w:rsid w:val="00DB1C17"/>
    <w:rsid w:val="00DB1E59"/>
    <w:rsid w:val="00DC04FE"/>
    <w:rsid w:val="00DC7B17"/>
    <w:rsid w:val="00DD0E40"/>
    <w:rsid w:val="00DE39FF"/>
    <w:rsid w:val="00DF0D84"/>
    <w:rsid w:val="00DF12A8"/>
    <w:rsid w:val="00E00F1B"/>
    <w:rsid w:val="00E03E0D"/>
    <w:rsid w:val="00E0565A"/>
    <w:rsid w:val="00E06C77"/>
    <w:rsid w:val="00E104C0"/>
    <w:rsid w:val="00E10685"/>
    <w:rsid w:val="00E165CF"/>
    <w:rsid w:val="00E1712C"/>
    <w:rsid w:val="00E3563E"/>
    <w:rsid w:val="00E41BBA"/>
    <w:rsid w:val="00E420A2"/>
    <w:rsid w:val="00E45C22"/>
    <w:rsid w:val="00E50476"/>
    <w:rsid w:val="00E51A7F"/>
    <w:rsid w:val="00E53E7E"/>
    <w:rsid w:val="00E60441"/>
    <w:rsid w:val="00E72A03"/>
    <w:rsid w:val="00E7604B"/>
    <w:rsid w:val="00E95C1F"/>
    <w:rsid w:val="00E979FD"/>
    <w:rsid w:val="00EA14BD"/>
    <w:rsid w:val="00EA2C89"/>
    <w:rsid w:val="00EA55CE"/>
    <w:rsid w:val="00EC33C5"/>
    <w:rsid w:val="00EC47EA"/>
    <w:rsid w:val="00EC75EE"/>
    <w:rsid w:val="00ED3DE9"/>
    <w:rsid w:val="00ED716A"/>
    <w:rsid w:val="00EE1C5A"/>
    <w:rsid w:val="00EF0D7F"/>
    <w:rsid w:val="00EF3C16"/>
    <w:rsid w:val="00EF5FBF"/>
    <w:rsid w:val="00F039C2"/>
    <w:rsid w:val="00F11A7A"/>
    <w:rsid w:val="00F12457"/>
    <w:rsid w:val="00F30279"/>
    <w:rsid w:val="00F31BDB"/>
    <w:rsid w:val="00F34BE1"/>
    <w:rsid w:val="00F40EBC"/>
    <w:rsid w:val="00F41447"/>
    <w:rsid w:val="00F576AD"/>
    <w:rsid w:val="00F630E4"/>
    <w:rsid w:val="00F720E6"/>
    <w:rsid w:val="00F73052"/>
    <w:rsid w:val="00F7586E"/>
    <w:rsid w:val="00F853D9"/>
    <w:rsid w:val="00F86697"/>
    <w:rsid w:val="00F90A80"/>
    <w:rsid w:val="00F92AAD"/>
    <w:rsid w:val="00F9403D"/>
    <w:rsid w:val="00FA1C99"/>
    <w:rsid w:val="00FA2203"/>
    <w:rsid w:val="00FA5A11"/>
    <w:rsid w:val="00FA7239"/>
    <w:rsid w:val="00FA76B4"/>
    <w:rsid w:val="00FB3165"/>
    <w:rsid w:val="00FB4B17"/>
    <w:rsid w:val="00FC2ADE"/>
    <w:rsid w:val="00FC3048"/>
    <w:rsid w:val="00FD793A"/>
    <w:rsid w:val="00FD7E1E"/>
    <w:rsid w:val="00FE1ACA"/>
    <w:rsid w:val="00FE5792"/>
    <w:rsid w:val="00FE7304"/>
    <w:rsid w:val="00FE77B5"/>
    <w:rsid w:val="00FF4B2E"/>
    <w:rsid w:val="00FF50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835438-0F8E-4628-9FBC-37F34940F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307"/>
    <w:pPr>
      <w:spacing w:after="200" w:line="276" w:lineRule="auto"/>
    </w:pPr>
    <w:rPr>
      <w:rFonts w:ascii="Calibri" w:eastAsia="Calibri" w:hAnsi="Calibri" w:cs="Times New Roman"/>
    </w:rPr>
  </w:style>
  <w:style w:type="paragraph" w:styleId="Heading1">
    <w:name w:val="heading 1"/>
    <w:basedOn w:val="Normal"/>
    <w:link w:val="Heading1Char"/>
    <w:uiPriority w:val="9"/>
    <w:qFormat/>
    <w:rsid w:val="00837A70"/>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837A70"/>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B762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A7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qFormat/>
    <w:rsid w:val="00837A70"/>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B7622C"/>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nhideWhenUsed/>
    <w:rsid w:val="003A5B2D"/>
    <w:pPr>
      <w:spacing w:after="0" w:line="240" w:lineRule="auto"/>
    </w:pPr>
    <w:rPr>
      <w:sz w:val="20"/>
      <w:szCs w:val="20"/>
    </w:rPr>
  </w:style>
  <w:style w:type="character" w:customStyle="1" w:styleId="FootnoteTextChar">
    <w:name w:val="Footnote Text Char"/>
    <w:basedOn w:val="DefaultParagraphFont"/>
    <w:link w:val="FootnoteText"/>
    <w:uiPriority w:val="99"/>
    <w:rsid w:val="003A5B2D"/>
    <w:rPr>
      <w:sz w:val="20"/>
      <w:szCs w:val="20"/>
    </w:rPr>
  </w:style>
  <w:style w:type="character" w:styleId="FootnoteReference">
    <w:name w:val="footnote reference"/>
    <w:basedOn w:val="DefaultParagraphFont"/>
    <w:uiPriority w:val="99"/>
    <w:semiHidden/>
    <w:unhideWhenUsed/>
    <w:rsid w:val="003A5B2D"/>
    <w:rPr>
      <w:vertAlign w:val="superscript"/>
    </w:rPr>
  </w:style>
  <w:style w:type="character" w:styleId="Hyperlink">
    <w:name w:val="Hyperlink"/>
    <w:basedOn w:val="DefaultParagraphFont"/>
    <w:uiPriority w:val="99"/>
    <w:unhideWhenUsed/>
    <w:qFormat/>
    <w:rsid w:val="00AE7F12"/>
    <w:rPr>
      <w:color w:val="0563C1" w:themeColor="hyperlink"/>
      <w:u w:val="single"/>
    </w:rPr>
  </w:style>
  <w:style w:type="paragraph" w:styleId="ListParagraph">
    <w:name w:val="List Paragraph"/>
    <w:basedOn w:val="Normal"/>
    <w:uiPriority w:val="34"/>
    <w:qFormat/>
    <w:rsid w:val="00B32C52"/>
    <w:pPr>
      <w:ind w:left="720"/>
      <w:contextualSpacing/>
    </w:pPr>
  </w:style>
  <w:style w:type="paragraph" w:styleId="Header">
    <w:name w:val="header"/>
    <w:basedOn w:val="Normal"/>
    <w:link w:val="HeaderChar"/>
    <w:uiPriority w:val="99"/>
    <w:unhideWhenUsed/>
    <w:qFormat/>
    <w:rsid w:val="00230335"/>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230335"/>
  </w:style>
  <w:style w:type="paragraph" w:styleId="Footer">
    <w:name w:val="footer"/>
    <w:basedOn w:val="Normal"/>
    <w:link w:val="FooterChar"/>
    <w:uiPriority w:val="99"/>
    <w:unhideWhenUsed/>
    <w:qFormat/>
    <w:rsid w:val="00230335"/>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230335"/>
  </w:style>
  <w:style w:type="paragraph" w:styleId="BalloonText">
    <w:name w:val="Balloon Text"/>
    <w:basedOn w:val="Normal"/>
    <w:link w:val="BalloonTextChar"/>
    <w:uiPriority w:val="99"/>
    <w:semiHidden/>
    <w:unhideWhenUsed/>
    <w:rsid w:val="00F853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F853D9"/>
    <w:rPr>
      <w:rFonts w:ascii="Segoe UI" w:hAnsi="Segoe UI" w:cs="Segoe UI"/>
      <w:sz w:val="18"/>
      <w:szCs w:val="18"/>
    </w:rPr>
  </w:style>
  <w:style w:type="paragraph" w:styleId="NoSpacing">
    <w:name w:val="No Spacing"/>
    <w:link w:val="NoSpacingChar"/>
    <w:uiPriority w:val="1"/>
    <w:qFormat/>
    <w:rsid w:val="00A86307"/>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016F35"/>
    <w:rPr>
      <w:rFonts w:ascii="Calibri" w:eastAsia="Calibri" w:hAnsi="Calibri" w:cs="Times New Roman"/>
    </w:rPr>
  </w:style>
  <w:style w:type="character" w:styleId="Strong">
    <w:name w:val="Strong"/>
    <w:uiPriority w:val="22"/>
    <w:qFormat/>
    <w:rsid w:val="00837A70"/>
    <w:rPr>
      <w:b/>
      <w:bCs/>
    </w:rPr>
  </w:style>
  <w:style w:type="paragraph" w:customStyle="1" w:styleId="Default">
    <w:name w:val="Default"/>
    <w:rsid w:val="00F86697"/>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F866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A80E0A"/>
    <w:rPr>
      <w:i/>
      <w:iCs/>
    </w:rPr>
  </w:style>
  <w:style w:type="paragraph" w:styleId="NormalWeb">
    <w:name w:val="Normal (Web)"/>
    <w:basedOn w:val="Normal"/>
    <w:unhideWhenUsed/>
    <w:rsid w:val="00FA1C99"/>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qFormat/>
    <w:rsid w:val="00AB3DD7"/>
    <w:pPr>
      <w:widowControl w:val="0"/>
      <w:spacing w:after="0" w:line="240" w:lineRule="auto"/>
    </w:pPr>
    <w:rPr>
      <w:rFonts w:ascii="Arial Narrow" w:eastAsia="Arial Narrow" w:hAnsi="Arial Narrow" w:cs="Arial Narrow"/>
      <w:sz w:val="21"/>
      <w:szCs w:val="21"/>
    </w:rPr>
  </w:style>
  <w:style w:type="character" w:customStyle="1" w:styleId="BodyTextChar">
    <w:name w:val="Body Text Char"/>
    <w:basedOn w:val="DefaultParagraphFont"/>
    <w:link w:val="BodyText"/>
    <w:rsid w:val="00AB3DD7"/>
    <w:rPr>
      <w:rFonts w:ascii="Arial Narrow" w:eastAsia="Arial Narrow" w:hAnsi="Arial Narrow" w:cs="Arial Narrow"/>
      <w:sz w:val="21"/>
      <w:szCs w:val="21"/>
    </w:rPr>
  </w:style>
  <w:style w:type="paragraph" w:customStyle="1" w:styleId="TableParagraph">
    <w:name w:val="Table Paragraph"/>
    <w:basedOn w:val="Normal"/>
    <w:uiPriority w:val="1"/>
    <w:qFormat/>
    <w:rsid w:val="00AB3DD7"/>
    <w:pPr>
      <w:widowControl w:val="0"/>
      <w:spacing w:after="0" w:line="240" w:lineRule="auto"/>
      <w:ind w:left="248"/>
    </w:pPr>
    <w:rPr>
      <w:rFonts w:ascii="Arial Narrow" w:eastAsia="Arial Narrow" w:hAnsi="Arial Narrow" w:cs="Arial Narrow"/>
    </w:rPr>
  </w:style>
  <w:style w:type="character" w:customStyle="1" w:styleId="apple-converted-space">
    <w:name w:val="apple-converted-space"/>
    <w:basedOn w:val="DefaultParagraphFont"/>
    <w:rsid w:val="00AB3DD7"/>
  </w:style>
  <w:style w:type="character" w:styleId="Emphasis">
    <w:name w:val="Emphasis"/>
    <w:basedOn w:val="DefaultParagraphFont"/>
    <w:uiPriority w:val="20"/>
    <w:qFormat/>
    <w:rsid w:val="00AB3DD7"/>
    <w:rPr>
      <w:i/>
      <w:iCs/>
    </w:rPr>
  </w:style>
  <w:style w:type="character" w:styleId="PlaceholderText">
    <w:name w:val="Placeholder Text"/>
    <w:basedOn w:val="DefaultParagraphFont"/>
    <w:uiPriority w:val="99"/>
    <w:semiHidden/>
    <w:rsid w:val="00AB3DD7"/>
    <w:rPr>
      <w:color w:val="808080"/>
    </w:rPr>
  </w:style>
  <w:style w:type="character" w:customStyle="1" w:styleId="e24kjd">
    <w:name w:val="e24kjd"/>
    <w:basedOn w:val="DefaultParagraphFont"/>
    <w:rsid w:val="005931CC"/>
  </w:style>
  <w:style w:type="character" w:customStyle="1" w:styleId="a">
    <w:name w:val="a"/>
    <w:basedOn w:val="DefaultParagraphFont"/>
    <w:rsid w:val="00C92AFF"/>
  </w:style>
  <w:style w:type="character" w:customStyle="1" w:styleId="l6">
    <w:name w:val="l6"/>
    <w:basedOn w:val="DefaultParagraphFont"/>
    <w:rsid w:val="00C92AFF"/>
  </w:style>
  <w:style w:type="character" w:customStyle="1" w:styleId="l8">
    <w:name w:val="l8"/>
    <w:basedOn w:val="DefaultParagraphFont"/>
    <w:rsid w:val="00C92AFF"/>
  </w:style>
  <w:style w:type="character" w:customStyle="1" w:styleId="l9">
    <w:name w:val="l9"/>
    <w:basedOn w:val="DefaultParagraphFont"/>
    <w:rsid w:val="00C92AFF"/>
  </w:style>
  <w:style w:type="character" w:customStyle="1" w:styleId="lsc">
    <w:name w:val="lsc"/>
    <w:basedOn w:val="DefaultParagraphFont"/>
    <w:rsid w:val="00C92AFF"/>
  </w:style>
  <w:style w:type="character" w:styleId="PageNumber">
    <w:name w:val="page number"/>
    <w:basedOn w:val="DefaultParagraphFont"/>
    <w:uiPriority w:val="99"/>
    <w:semiHidden/>
    <w:unhideWhenUsed/>
    <w:rsid w:val="00C92AFF"/>
  </w:style>
  <w:style w:type="character" w:customStyle="1" w:styleId="Bodytext4">
    <w:name w:val="Body text (4)_"/>
    <w:basedOn w:val="DefaultParagraphFont"/>
    <w:link w:val="Bodytext40"/>
    <w:uiPriority w:val="99"/>
    <w:rsid w:val="00145396"/>
    <w:rPr>
      <w:rFonts w:ascii="Times New Roman" w:hAnsi="Times New Roman" w:cs="Times New Roman"/>
      <w:i/>
      <w:iCs/>
      <w:shd w:val="clear" w:color="auto" w:fill="FFFFFF"/>
    </w:rPr>
  </w:style>
  <w:style w:type="paragraph" w:customStyle="1" w:styleId="Bodytext40">
    <w:name w:val="Body text (4)"/>
    <w:basedOn w:val="Normal"/>
    <w:link w:val="Bodytext4"/>
    <w:uiPriority w:val="99"/>
    <w:rsid w:val="00145396"/>
    <w:pPr>
      <w:widowControl w:val="0"/>
      <w:shd w:val="clear" w:color="auto" w:fill="FFFFFF"/>
      <w:spacing w:after="120" w:line="400" w:lineRule="exact"/>
      <w:ind w:hanging="440"/>
      <w:jc w:val="both"/>
    </w:pPr>
    <w:rPr>
      <w:rFonts w:ascii="Times New Roman" w:eastAsiaTheme="minorHAnsi" w:hAnsi="Times New Roman"/>
      <w:i/>
      <w:iCs/>
    </w:rPr>
  </w:style>
  <w:style w:type="character" w:customStyle="1" w:styleId="td-post-date">
    <w:name w:val="td-post-date"/>
    <w:basedOn w:val="DefaultParagraphFont"/>
    <w:rsid w:val="00145396"/>
  </w:style>
  <w:style w:type="character" w:customStyle="1" w:styleId="nlmyear">
    <w:name w:val="nlm_year"/>
    <w:basedOn w:val="DefaultParagraphFont"/>
    <w:rsid w:val="00145396"/>
  </w:style>
  <w:style w:type="character" w:customStyle="1" w:styleId="nlmpublisher-loc">
    <w:name w:val="nlm_publisher-loc"/>
    <w:basedOn w:val="DefaultParagraphFont"/>
    <w:rsid w:val="00145396"/>
  </w:style>
  <w:style w:type="character" w:customStyle="1" w:styleId="nlmpublisher-name">
    <w:name w:val="nlm_publisher-name"/>
    <w:basedOn w:val="DefaultParagraphFont"/>
    <w:rsid w:val="00145396"/>
  </w:style>
  <w:style w:type="paragraph" w:styleId="Bibliography">
    <w:name w:val="Bibliography"/>
    <w:basedOn w:val="Normal"/>
    <w:next w:val="Normal"/>
    <w:uiPriority w:val="37"/>
    <w:rsid w:val="006F4C06"/>
    <w:rPr>
      <w:rFonts w:cs="SimSun"/>
      <w:lang w:val="en-ZA"/>
    </w:rPr>
  </w:style>
  <w:style w:type="paragraph" w:styleId="BodyTextIndent">
    <w:name w:val="Body Text Indent"/>
    <w:basedOn w:val="Normal"/>
    <w:link w:val="BodyTextIndentChar"/>
    <w:uiPriority w:val="99"/>
    <w:unhideWhenUsed/>
    <w:rsid w:val="0017581F"/>
    <w:pPr>
      <w:spacing w:after="120"/>
      <w:ind w:left="360"/>
    </w:pPr>
  </w:style>
  <w:style w:type="character" w:customStyle="1" w:styleId="BodyTextIndentChar">
    <w:name w:val="Body Text Indent Char"/>
    <w:basedOn w:val="DefaultParagraphFont"/>
    <w:link w:val="BodyTextIndent"/>
    <w:uiPriority w:val="99"/>
    <w:rsid w:val="0017581F"/>
    <w:rPr>
      <w:rFonts w:ascii="Calibri" w:eastAsia="Calibri" w:hAnsi="Calibri" w:cs="Times New Roman"/>
    </w:rPr>
  </w:style>
  <w:style w:type="paragraph" w:customStyle="1" w:styleId="Pa11">
    <w:name w:val="Pa11"/>
    <w:basedOn w:val="Default"/>
    <w:next w:val="Default"/>
    <w:uiPriority w:val="99"/>
    <w:rsid w:val="00814EAC"/>
    <w:pPr>
      <w:spacing w:line="201" w:lineRule="atLeast"/>
    </w:pPr>
    <w:rPr>
      <w:rFonts w:ascii="Futura Std" w:eastAsia="Calibri" w:hAnsi="Futura Std" w:cs="SimSun"/>
      <w:color w:val="auto"/>
    </w:rPr>
  </w:style>
  <w:style w:type="character" w:customStyle="1" w:styleId="A7">
    <w:name w:val="A7"/>
    <w:uiPriority w:val="99"/>
    <w:rsid w:val="00814EAC"/>
    <w:rPr>
      <w:rFonts w:cs="Futura Std"/>
      <w:color w:val="000000"/>
      <w:sz w:val="11"/>
      <w:szCs w:val="11"/>
    </w:rPr>
  </w:style>
  <w:style w:type="paragraph" w:customStyle="1" w:styleId="Pa10">
    <w:name w:val="Pa10"/>
    <w:basedOn w:val="Default"/>
    <w:next w:val="Default"/>
    <w:uiPriority w:val="99"/>
    <w:rsid w:val="00814EAC"/>
    <w:pPr>
      <w:spacing w:line="201" w:lineRule="atLeast"/>
    </w:pPr>
    <w:rPr>
      <w:rFonts w:ascii="Futura Std" w:eastAsia="Calibri" w:hAnsi="Futura Std" w:cs="SimSun"/>
      <w:color w:val="auto"/>
    </w:rPr>
  </w:style>
  <w:style w:type="character" w:customStyle="1" w:styleId="A4">
    <w:name w:val="A4"/>
    <w:uiPriority w:val="99"/>
    <w:rsid w:val="00814EAC"/>
    <w:rPr>
      <w:rFonts w:cs="Futura Std"/>
      <w:color w:val="000000"/>
      <w:sz w:val="20"/>
      <w:szCs w:val="20"/>
    </w:rPr>
  </w:style>
  <w:style w:type="character" w:customStyle="1" w:styleId="A8">
    <w:name w:val="A8"/>
    <w:uiPriority w:val="99"/>
    <w:rsid w:val="00814EAC"/>
    <w:rPr>
      <w:rFonts w:cs="Futura Std"/>
      <w:color w:val="000000"/>
      <w:sz w:val="9"/>
      <w:szCs w:val="9"/>
    </w:rPr>
  </w:style>
  <w:style w:type="character" w:customStyle="1" w:styleId="A22">
    <w:name w:val="A2+2"/>
    <w:uiPriority w:val="99"/>
    <w:rsid w:val="00814EAC"/>
    <w:rPr>
      <w:rFonts w:cs="HelveticaNeueLT Com 55 Roman"/>
      <w:color w:val="000000"/>
      <w:sz w:val="10"/>
      <w:szCs w:val="10"/>
    </w:rPr>
  </w:style>
  <w:style w:type="paragraph" w:customStyle="1" w:styleId="Pa31">
    <w:name w:val="Pa3+1"/>
    <w:basedOn w:val="Default"/>
    <w:next w:val="Default"/>
    <w:uiPriority w:val="99"/>
    <w:rsid w:val="00814EAC"/>
    <w:pPr>
      <w:spacing w:line="241" w:lineRule="atLeast"/>
    </w:pPr>
    <w:rPr>
      <w:rFonts w:ascii="HelveticaNeueLT Com 55 Roman" w:eastAsia="Calibri" w:hAnsi="HelveticaNeueLT Com 55 Roman" w:cs="SimSun"/>
      <w:color w:val="auto"/>
    </w:rPr>
  </w:style>
  <w:style w:type="character" w:customStyle="1" w:styleId="A2">
    <w:name w:val="A2"/>
    <w:uiPriority w:val="99"/>
    <w:rsid w:val="00814EAC"/>
    <w:rPr>
      <w:rFonts w:cs="Futura Std"/>
      <w:b/>
      <w:bCs/>
      <w:color w:val="000000"/>
      <w:sz w:val="123"/>
      <w:szCs w:val="123"/>
    </w:rPr>
  </w:style>
  <w:style w:type="character" w:customStyle="1" w:styleId="longtext1">
    <w:name w:val="long_text1"/>
    <w:rsid w:val="00F12457"/>
    <w:rPr>
      <w:sz w:val="14"/>
      <w:szCs w:val="14"/>
    </w:rPr>
  </w:style>
  <w:style w:type="character" w:customStyle="1" w:styleId="foreign1">
    <w:name w:val="foreign1"/>
    <w:rsid w:val="00F12457"/>
    <w:rPr>
      <w:i/>
      <w:iCs/>
    </w:rPr>
  </w:style>
  <w:style w:type="character" w:customStyle="1" w:styleId="Caption1">
    <w:name w:val="Caption1"/>
    <w:basedOn w:val="DefaultParagraphFont"/>
    <w:rsid w:val="00F12457"/>
  </w:style>
  <w:style w:type="character" w:customStyle="1" w:styleId="addmd">
    <w:name w:val="addmd"/>
    <w:basedOn w:val="DefaultParagraphFont"/>
    <w:rsid w:val="00F12457"/>
  </w:style>
  <w:style w:type="paragraph" w:customStyle="1" w:styleId="q-text">
    <w:name w:val="q-text"/>
    <w:basedOn w:val="Normal"/>
    <w:rsid w:val="00785820"/>
    <w:pPr>
      <w:spacing w:before="100" w:beforeAutospacing="1" w:after="100" w:afterAutospacing="1" w:line="240" w:lineRule="auto"/>
    </w:pPr>
    <w:rPr>
      <w:rFonts w:ascii="Times New Roman" w:eastAsia="Times New Roman" w:hAnsi="Times New Roman"/>
      <w:sz w:val="24"/>
      <w:szCs w:val="24"/>
    </w:rPr>
  </w:style>
  <w:style w:type="character" w:customStyle="1" w:styleId="ilfuvd">
    <w:name w:val="ilfuvd"/>
    <w:basedOn w:val="DefaultParagraphFont"/>
    <w:rsid w:val="00016F35"/>
  </w:style>
  <w:style w:type="paragraph" w:customStyle="1" w:styleId="Pa8">
    <w:name w:val="Pa8"/>
    <w:basedOn w:val="Normal"/>
    <w:rsid w:val="008F313E"/>
    <w:pPr>
      <w:autoSpaceDE w:val="0"/>
      <w:autoSpaceDN w:val="0"/>
      <w:adjustRightInd w:val="0"/>
      <w:spacing w:after="0" w:line="221" w:lineRule="atLeast"/>
    </w:pPr>
    <w:rPr>
      <w:rFonts w:ascii="Times LT Std" w:hAnsi="Times LT Std" w:cs="Times LT Std"/>
      <w:color w:val="000000"/>
      <w:sz w:val="24"/>
      <w:szCs w:val="24"/>
    </w:rPr>
  </w:style>
  <w:style w:type="table" w:styleId="LightShading-Accent4">
    <w:name w:val="Light Shading Accent 4"/>
    <w:basedOn w:val="TableNormal"/>
    <w:uiPriority w:val="60"/>
    <w:rsid w:val="008F313E"/>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MediumShading1">
    <w:name w:val="Medium Shading 1"/>
    <w:basedOn w:val="TableNormal"/>
    <w:uiPriority w:val="63"/>
    <w:rsid w:val="008F313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Style2">
    <w:name w:val="Style2"/>
    <w:basedOn w:val="Normal"/>
    <w:uiPriority w:val="99"/>
    <w:rsid w:val="006A5860"/>
    <w:pPr>
      <w:widowControl w:val="0"/>
      <w:autoSpaceDE w:val="0"/>
      <w:autoSpaceDN w:val="0"/>
      <w:adjustRightInd w:val="0"/>
      <w:spacing w:after="0" w:line="552" w:lineRule="exact"/>
      <w:ind w:firstLine="715"/>
      <w:jc w:val="both"/>
    </w:pPr>
    <w:rPr>
      <w:rFonts w:ascii="Times New Roman" w:eastAsiaTheme="minorEastAsia" w:hAnsi="Times New Roman"/>
      <w:sz w:val="24"/>
      <w:szCs w:val="24"/>
    </w:rPr>
  </w:style>
  <w:style w:type="paragraph" w:customStyle="1" w:styleId="Style4">
    <w:name w:val="Style4"/>
    <w:basedOn w:val="Normal"/>
    <w:uiPriority w:val="99"/>
    <w:rsid w:val="006A5860"/>
    <w:pPr>
      <w:widowControl w:val="0"/>
      <w:autoSpaceDE w:val="0"/>
      <w:autoSpaceDN w:val="0"/>
      <w:adjustRightInd w:val="0"/>
      <w:spacing w:after="0" w:line="240" w:lineRule="auto"/>
    </w:pPr>
    <w:rPr>
      <w:rFonts w:ascii="Times New Roman" w:eastAsiaTheme="minorEastAsia" w:hAnsi="Times New Roman"/>
      <w:sz w:val="24"/>
      <w:szCs w:val="24"/>
    </w:rPr>
  </w:style>
  <w:style w:type="paragraph" w:customStyle="1" w:styleId="Style5">
    <w:name w:val="Style5"/>
    <w:basedOn w:val="Normal"/>
    <w:uiPriority w:val="99"/>
    <w:rsid w:val="006A5860"/>
    <w:pPr>
      <w:widowControl w:val="0"/>
      <w:autoSpaceDE w:val="0"/>
      <w:autoSpaceDN w:val="0"/>
      <w:adjustRightInd w:val="0"/>
      <w:spacing w:after="0" w:line="240" w:lineRule="auto"/>
    </w:pPr>
    <w:rPr>
      <w:rFonts w:ascii="Times New Roman" w:eastAsiaTheme="minorEastAsia" w:hAnsi="Times New Roman"/>
      <w:sz w:val="24"/>
      <w:szCs w:val="24"/>
    </w:rPr>
  </w:style>
  <w:style w:type="paragraph" w:customStyle="1" w:styleId="Style6">
    <w:name w:val="Style6"/>
    <w:basedOn w:val="Normal"/>
    <w:uiPriority w:val="99"/>
    <w:rsid w:val="006A5860"/>
    <w:pPr>
      <w:widowControl w:val="0"/>
      <w:autoSpaceDE w:val="0"/>
      <w:autoSpaceDN w:val="0"/>
      <w:adjustRightInd w:val="0"/>
      <w:spacing w:after="0" w:line="547" w:lineRule="exact"/>
      <w:ind w:hanging="528"/>
    </w:pPr>
    <w:rPr>
      <w:rFonts w:ascii="Times New Roman" w:eastAsiaTheme="minorEastAsia" w:hAnsi="Times New Roman"/>
      <w:sz w:val="24"/>
      <w:szCs w:val="24"/>
    </w:rPr>
  </w:style>
  <w:style w:type="character" w:customStyle="1" w:styleId="FontStyle11">
    <w:name w:val="Font Style11"/>
    <w:basedOn w:val="DefaultParagraphFont"/>
    <w:uiPriority w:val="99"/>
    <w:rsid w:val="006A5860"/>
    <w:rPr>
      <w:rFonts w:ascii="Times New Roman" w:hAnsi="Times New Roman" w:cs="Times New Roman"/>
      <w:sz w:val="22"/>
      <w:szCs w:val="22"/>
    </w:rPr>
  </w:style>
  <w:style w:type="character" w:customStyle="1" w:styleId="FontStyle12">
    <w:name w:val="Font Style12"/>
    <w:basedOn w:val="DefaultParagraphFont"/>
    <w:uiPriority w:val="99"/>
    <w:rsid w:val="006A5860"/>
    <w:rPr>
      <w:rFonts w:ascii="Times New Roman" w:hAnsi="Times New Roman" w:cs="Times New Roman"/>
      <w:b/>
      <w:bCs/>
      <w:sz w:val="22"/>
      <w:szCs w:val="22"/>
    </w:rPr>
  </w:style>
  <w:style w:type="character" w:customStyle="1" w:styleId="Bodytext0">
    <w:name w:val="Body text_"/>
    <w:basedOn w:val="DefaultParagraphFont"/>
    <w:link w:val="BodyText1"/>
    <w:rsid w:val="008D1C5A"/>
    <w:rPr>
      <w:rFonts w:ascii="Times New Roman" w:eastAsia="Times New Roman" w:hAnsi="Times New Roman" w:cs="Times New Roman"/>
      <w:sz w:val="26"/>
      <w:szCs w:val="26"/>
      <w:shd w:val="clear" w:color="auto" w:fill="FFFFFF"/>
    </w:rPr>
  </w:style>
  <w:style w:type="paragraph" w:customStyle="1" w:styleId="BodyText1">
    <w:name w:val="Body Text1"/>
    <w:basedOn w:val="Normal"/>
    <w:link w:val="Bodytext0"/>
    <w:rsid w:val="008D1C5A"/>
    <w:pPr>
      <w:widowControl w:val="0"/>
      <w:shd w:val="clear" w:color="auto" w:fill="FFFFFF"/>
      <w:spacing w:before="600" w:after="0" w:line="638" w:lineRule="exact"/>
      <w:ind w:hanging="220"/>
      <w:jc w:val="both"/>
    </w:pPr>
    <w:rPr>
      <w:rFonts w:ascii="Times New Roman" w:eastAsia="Times New Roman" w:hAnsi="Times New Roman"/>
      <w:sz w:val="26"/>
      <w:szCs w:val="26"/>
    </w:rPr>
  </w:style>
  <w:style w:type="character" w:customStyle="1" w:styleId="BodytextItalic">
    <w:name w:val="Body text + Italic"/>
    <w:aliases w:val="Spacing 1 pt"/>
    <w:basedOn w:val="Bodytext0"/>
    <w:rsid w:val="008D1C5A"/>
    <w:rPr>
      <w:rFonts w:ascii="Times New Roman" w:eastAsia="Times New Roman" w:hAnsi="Times New Roman" w:cs="Times New Roman"/>
      <w:b w:val="0"/>
      <w:bCs w:val="0"/>
      <w:i/>
      <w:iCs/>
      <w:smallCaps w:val="0"/>
      <w:strike w:val="0"/>
      <w:color w:val="000000"/>
      <w:spacing w:val="0"/>
      <w:w w:val="100"/>
      <w:position w:val="0"/>
      <w:sz w:val="23"/>
      <w:szCs w:val="23"/>
      <w:u w:val="single"/>
      <w:shd w:val="clear" w:color="auto" w:fill="FFFFFF"/>
      <w:lang w:val="en-US" w:eastAsia="en-US" w:bidi="en-US"/>
    </w:rPr>
  </w:style>
  <w:style w:type="character" w:customStyle="1" w:styleId="Bodytext9NotItalic">
    <w:name w:val="Body text (9) + Not Italic"/>
    <w:basedOn w:val="DefaultParagraphFont"/>
    <w:rsid w:val="008D1C5A"/>
    <w:rPr>
      <w:rFonts w:ascii="Times New Roman" w:eastAsia="Times New Roman" w:hAnsi="Times New Roman" w:cs="Times New Roman"/>
      <w:i/>
      <w:iCs/>
      <w:color w:val="000000"/>
      <w:spacing w:val="0"/>
      <w:w w:val="100"/>
      <w:position w:val="0"/>
      <w:sz w:val="23"/>
      <w:szCs w:val="23"/>
      <w:shd w:val="clear" w:color="auto" w:fill="FFFFFF"/>
      <w:lang w:val="en-US" w:eastAsia="en-US" w:bidi="en-US"/>
    </w:rPr>
  </w:style>
  <w:style w:type="paragraph" w:styleId="BodyText3">
    <w:name w:val="Body Text 3"/>
    <w:basedOn w:val="Normal"/>
    <w:link w:val="BodyText3Char"/>
    <w:uiPriority w:val="99"/>
    <w:semiHidden/>
    <w:unhideWhenUsed/>
    <w:rsid w:val="00984CC8"/>
    <w:pPr>
      <w:spacing w:after="120"/>
    </w:pPr>
    <w:rPr>
      <w:sz w:val="16"/>
      <w:szCs w:val="16"/>
    </w:rPr>
  </w:style>
  <w:style w:type="character" w:customStyle="1" w:styleId="BodyText3Char">
    <w:name w:val="Body Text 3 Char"/>
    <w:basedOn w:val="DefaultParagraphFont"/>
    <w:link w:val="BodyText3"/>
    <w:uiPriority w:val="99"/>
    <w:semiHidden/>
    <w:rsid w:val="00984CC8"/>
    <w:rPr>
      <w:rFonts w:ascii="Calibri" w:eastAsia="Calibri" w:hAnsi="Calibri" w:cs="Times New Roman"/>
      <w:sz w:val="16"/>
      <w:szCs w:val="16"/>
    </w:rPr>
  </w:style>
  <w:style w:type="character" w:customStyle="1" w:styleId="authors">
    <w:name w:val="authors"/>
    <w:basedOn w:val="DefaultParagraphFont"/>
    <w:rsid w:val="00620A82"/>
  </w:style>
  <w:style w:type="character" w:customStyle="1" w:styleId="Date1">
    <w:name w:val="Date1"/>
    <w:basedOn w:val="DefaultParagraphFont"/>
    <w:rsid w:val="00620A82"/>
  </w:style>
  <w:style w:type="character" w:customStyle="1" w:styleId="arttitle">
    <w:name w:val="art_title"/>
    <w:basedOn w:val="DefaultParagraphFont"/>
    <w:rsid w:val="00620A82"/>
  </w:style>
  <w:style w:type="character" w:customStyle="1" w:styleId="serialtitle">
    <w:name w:val="serial_title"/>
    <w:basedOn w:val="DefaultParagraphFont"/>
    <w:rsid w:val="00620A82"/>
  </w:style>
  <w:style w:type="character" w:customStyle="1" w:styleId="volumeissue">
    <w:name w:val="volume_issue"/>
    <w:basedOn w:val="DefaultParagraphFont"/>
    <w:rsid w:val="00620A82"/>
  </w:style>
  <w:style w:type="character" w:customStyle="1" w:styleId="pagerange">
    <w:name w:val="page_range"/>
    <w:basedOn w:val="DefaultParagraphFont"/>
    <w:rsid w:val="00620A82"/>
  </w:style>
  <w:style w:type="table" w:customStyle="1" w:styleId="TableGrid0">
    <w:name w:val="TableGrid"/>
    <w:rsid w:val="00464B6B"/>
    <w:pPr>
      <w:spacing w:after="0" w:line="240" w:lineRule="auto"/>
    </w:pPr>
    <w:rPr>
      <w:rFonts w:eastAsiaTheme="minorEastAsia"/>
      <w:lang w:val="en-GB" w:eastAsia="en-GB"/>
    </w:rPr>
    <w:tblPr>
      <w:tblCellMar>
        <w:top w:w="0" w:type="dxa"/>
        <w:left w:w="0" w:type="dxa"/>
        <w:bottom w:w="0" w:type="dxa"/>
        <w:right w:w="0" w:type="dxa"/>
      </w:tblCellMar>
    </w:tblPr>
  </w:style>
  <w:style w:type="paragraph" w:customStyle="1" w:styleId="comp">
    <w:name w:val="comp"/>
    <w:basedOn w:val="Normal"/>
    <w:rsid w:val="00464B6B"/>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fontstyle01">
    <w:name w:val="fontstyle01"/>
    <w:basedOn w:val="DefaultParagraphFont"/>
    <w:rsid w:val="009849E5"/>
    <w:rPr>
      <w:rFonts w:ascii="Times New Roman" w:hAnsi="Times New Roman" w:cs="Times New Roman" w:hint="default"/>
      <w:b/>
      <w:bCs/>
      <w:i w:val="0"/>
      <w:iCs w:val="0"/>
      <w:color w:val="00B0F0"/>
      <w:sz w:val="24"/>
      <w:szCs w:val="24"/>
    </w:rPr>
  </w:style>
  <w:style w:type="character" w:customStyle="1" w:styleId="fontstyle21">
    <w:name w:val="fontstyle21"/>
    <w:basedOn w:val="DefaultParagraphFont"/>
    <w:rsid w:val="009849E5"/>
    <w:rPr>
      <w:rFonts w:ascii="Times New Roman" w:hAnsi="Times New Roman" w:cs="Times New Roman" w:hint="default"/>
      <w:b w:val="0"/>
      <w:bCs w:val="0"/>
      <w:i w:val="0"/>
      <w:iCs w:val="0"/>
      <w:color w:val="000000"/>
      <w:sz w:val="24"/>
      <w:szCs w:val="24"/>
    </w:rPr>
  </w:style>
  <w:style w:type="character" w:customStyle="1" w:styleId="author">
    <w:name w:val="author"/>
    <w:basedOn w:val="DefaultParagraphFont"/>
    <w:rsid w:val="009849E5"/>
  </w:style>
  <w:style w:type="character" w:customStyle="1" w:styleId="booktitle">
    <w:name w:val="booktitle"/>
    <w:basedOn w:val="DefaultParagraphFont"/>
    <w:rsid w:val="009849E5"/>
  </w:style>
  <w:style w:type="character" w:customStyle="1" w:styleId="pubyear">
    <w:name w:val="pubyear"/>
    <w:basedOn w:val="DefaultParagraphFont"/>
    <w:rsid w:val="009849E5"/>
  </w:style>
  <w:style w:type="character" w:customStyle="1" w:styleId="contribdegrees">
    <w:name w:val="contribdegrees"/>
    <w:basedOn w:val="DefaultParagraphFont"/>
    <w:rsid w:val="009849E5"/>
  </w:style>
  <w:style w:type="character" w:customStyle="1" w:styleId="muxgbd">
    <w:name w:val="muxgbd"/>
    <w:basedOn w:val="DefaultParagraphFont"/>
    <w:rsid w:val="009849E5"/>
  </w:style>
  <w:style w:type="character" w:customStyle="1" w:styleId="SubtitleChar">
    <w:name w:val="Subtitle Char"/>
    <w:basedOn w:val="DefaultParagraphFont"/>
    <w:link w:val="Subtitle"/>
    <w:uiPriority w:val="11"/>
    <w:rsid w:val="00A472E8"/>
    <w:rPr>
      <w:rFonts w:asciiTheme="majorHAnsi" w:eastAsiaTheme="majorEastAsia" w:hAnsiTheme="majorHAnsi" w:cstheme="majorBidi"/>
      <w:i/>
      <w:iCs/>
      <w:color w:val="5B9BD5" w:themeColor="accent1"/>
      <w:spacing w:val="15"/>
      <w:sz w:val="24"/>
      <w:szCs w:val="24"/>
    </w:rPr>
  </w:style>
  <w:style w:type="paragraph" w:styleId="Subtitle">
    <w:name w:val="Subtitle"/>
    <w:basedOn w:val="Normal"/>
    <w:next w:val="Normal"/>
    <w:link w:val="SubtitleChar"/>
    <w:uiPriority w:val="11"/>
    <w:qFormat/>
    <w:rsid w:val="00A472E8"/>
    <w:rPr>
      <w:rFonts w:asciiTheme="majorHAnsi" w:eastAsiaTheme="majorEastAsia" w:hAnsiTheme="majorHAnsi" w:cstheme="majorBidi"/>
      <w:i/>
      <w:iCs/>
      <w:color w:val="5B9BD5" w:themeColor="accent1"/>
      <w:spacing w:val="15"/>
      <w:sz w:val="24"/>
      <w:szCs w:val="24"/>
    </w:rPr>
  </w:style>
  <w:style w:type="character" w:customStyle="1" w:styleId="markedcontent">
    <w:name w:val="markedcontent"/>
    <w:basedOn w:val="DefaultParagraphFont"/>
    <w:rsid w:val="00FF4B2E"/>
  </w:style>
  <w:style w:type="paragraph" w:customStyle="1" w:styleId="g-color-gray-dark-v2">
    <w:name w:val="g-color-gray-dark-v2"/>
    <w:basedOn w:val="Normal"/>
    <w:rsid w:val="008607C4"/>
    <w:pPr>
      <w:spacing w:before="100" w:beforeAutospacing="1" w:after="100" w:afterAutospacing="1" w:line="240" w:lineRule="auto"/>
    </w:pPr>
    <w:rPr>
      <w:rFonts w:ascii="Times New Roman" w:eastAsia="Times New Roman" w:hAnsi="Times New Roman"/>
      <w:sz w:val="24"/>
      <w:szCs w:val="24"/>
    </w:rPr>
  </w:style>
  <w:style w:type="character" w:customStyle="1" w:styleId="ref-text">
    <w:name w:val="ref-text"/>
    <w:basedOn w:val="DefaultParagraphFont"/>
    <w:rsid w:val="008607C4"/>
  </w:style>
  <w:style w:type="paragraph" w:styleId="Caption">
    <w:name w:val="caption"/>
    <w:basedOn w:val="Normal"/>
    <w:next w:val="Normal"/>
    <w:semiHidden/>
    <w:unhideWhenUsed/>
    <w:qFormat/>
    <w:rsid w:val="00B7622C"/>
    <w:pPr>
      <w:spacing w:line="240" w:lineRule="auto"/>
    </w:pPr>
    <w:rPr>
      <w:rFonts w:eastAsia="Times New Roman"/>
      <w:b/>
      <w:bCs/>
      <w:color w:val="4F81BD"/>
      <w:sz w:val="18"/>
      <w:szCs w:val="18"/>
      <w:lang w:val="en-GB"/>
    </w:rPr>
  </w:style>
  <w:style w:type="character" w:customStyle="1" w:styleId="texhtml">
    <w:name w:val="texhtml"/>
    <w:basedOn w:val="DefaultParagraphFont"/>
    <w:rsid w:val="00B7622C"/>
    <w:rPr>
      <w:rFonts w:ascii="Times New Roman" w:hAnsi="Times New Roman" w:cs="Times New Roman" w:hint="default"/>
    </w:rPr>
  </w:style>
  <w:style w:type="character" w:customStyle="1" w:styleId="mw-headline">
    <w:name w:val="mw-headline"/>
    <w:basedOn w:val="DefaultParagraphFont"/>
    <w:rsid w:val="00A41F12"/>
  </w:style>
  <w:style w:type="paragraph" w:styleId="EndnoteText">
    <w:name w:val="endnote text"/>
    <w:basedOn w:val="Normal"/>
    <w:link w:val="EndnoteTextChar"/>
    <w:uiPriority w:val="99"/>
    <w:unhideWhenUsed/>
    <w:rsid w:val="00A41F12"/>
    <w:pPr>
      <w:spacing w:after="0" w:line="240" w:lineRule="auto"/>
    </w:pPr>
    <w:rPr>
      <w:rFonts w:asciiTheme="minorHAnsi" w:eastAsiaTheme="minorHAnsi" w:hAnsiTheme="minorHAnsi" w:cstheme="minorBidi"/>
      <w:sz w:val="20"/>
      <w:szCs w:val="20"/>
      <w:lang w:bidi="he-IL"/>
    </w:rPr>
  </w:style>
  <w:style w:type="character" w:customStyle="1" w:styleId="EndnoteTextChar">
    <w:name w:val="Endnote Text Char"/>
    <w:basedOn w:val="DefaultParagraphFont"/>
    <w:link w:val="EndnoteText"/>
    <w:uiPriority w:val="99"/>
    <w:rsid w:val="00A41F12"/>
    <w:rPr>
      <w:sz w:val="20"/>
      <w:szCs w:val="20"/>
      <w:lang w:bidi="he-IL"/>
    </w:rPr>
  </w:style>
  <w:style w:type="character" w:customStyle="1" w:styleId="posted-on">
    <w:name w:val="posted-on"/>
    <w:basedOn w:val="DefaultParagraphFont"/>
    <w:rsid w:val="00A41F12"/>
  </w:style>
  <w:style w:type="paragraph" w:customStyle="1" w:styleId="msolistparagraph0">
    <w:name w:val="msolistparagraph"/>
    <w:basedOn w:val="Normal"/>
    <w:rsid w:val="00C06DA1"/>
    <w:pPr>
      <w:spacing w:after="160" w:line="256" w:lineRule="auto"/>
      <w:ind w:left="720"/>
      <w:contextualSpacing/>
    </w:pPr>
  </w:style>
  <w:style w:type="paragraph" w:customStyle="1" w:styleId="msonospacing0">
    <w:name w:val="msonospacing"/>
    <w:rsid w:val="00C06DA1"/>
    <w:pPr>
      <w:spacing w:after="0" w:line="240" w:lineRule="auto"/>
    </w:pPr>
    <w:rPr>
      <w:rFonts w:ascii="Calibri" w:eastAsia="Calibri" w:hAnsi="Calibri" w:cs="Times New Roman"/>
    </w:rPr>
  </w:style>
  <w:style w:type="paragraph" w:customStyle="1" w:styleId="msonormalcxspmiddle">
    <w:name w:val="msonormalcxspmiddle"/>
    <w:basedOn w:val="Normal"/>
    <w:rsid w:val="00C06DA1"/>
    <w:pPr>
      <w:spacing w:before="100" w:beforeAutospacing="1" w:after="100" w:afterAutospacing="1" w:line="240" w:lineRule="auto"/>
    </w:pPr>
    <w:rPr>
      <w:rFonts w:ascii="Times New Roman" w:eastAsia="Times New Roman" w:hAnsi="Times New Roman"/>
      <w:sz w:val="24"/>
      <w:szCs w:val="24"/>
    </w:rPr>
  </w:style>
  <w:style w:type="paragraph" w:customStyle="1" w:styleId="desc1">
    <w:name w:val="desc1"/>
    <w:basedOn w:val="Normal"/>
    <w:rsid w:val="00C06DA1"/>
    <w:pPr>
      <w:spacing w:after="0" w:line="240" w:lineRule="auto"/>
    </w:pPr>
    <w:rPr>
      <w:rFonts w:ascii="Times New Roman" w:eastAsia="Times New Roman" w:hAnsi="Times New Roman"/>
      <w:color w:val="000000"/>
      <w:sz w:val="24"/>
      <w:szCs w:val="24"/>
    </w:rPr>
  </w:style>
  <w:style w:type="paragraph" w:customStyle="1" w:styleId="Default0">
    <w:name w:val="&quot;Default&quot;"/>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18">
    <w:name w:val="&quot;Default&quot;18"/>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15">
    <w:name w:val="&quot;Default&quot;15"/>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13">
    <w:name w:val="&quot;Default&quot;13"/>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12">
    <w:name w:val="&quot;Default&quot;12"/>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8">
    <w:name w:val="&quot;Default&quot;8"/>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7">
    <w:name w:val="&quot;Default&quot;7"/>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5">
    <w:name w:val="&quot;Default&quot;5"/>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1">
    <w:name w:val="&quot;Default&quot;1"/>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character" w:styleId="CommentReference">
    <w:name w:val="annotation reference"/>
    <w:uiPriority w:val="99"/>
    <w:semiHidden/>
    <w:unhideWhenUsed/>
    <w:rsid w:val="00163BD6"/>
    <w:rPr>
      <w:sz w:val="16"/>
      <w:szCs w:val="16"/>
    </w:rPr>
  </w:style>
  <w:style w:type="character" w:customStyle="1" w:styleId="CommentTextChar">
    <w:name w:val="Comment Text Char"/>
    <w:basedOn w:val="DefaultParagraphFont"/>
    <w:link w:val="CommentText"/>
    <w:uiPriority w:val="99"/>
    <w:semiHidden/>
    <w:rsid w:val="00163BD6"/>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163BD6"/>
    <w:pPr>
      <w:spacing w:line="240" w:lineRule="auto"/>
    </w:pPr>
    <w:rPr>
      <w:sz w:val="20"/>
      <w:szCs w:val="20"/>
    </w:rPr>
  </w:style>
  <w:style w:type="character" w:customStyle="1" w:styleId="CommentSubjectChar">
    <w:name w:val="Comment Subject Char"/>
    <w:basedOn w:val="CommentTextChar"/>
    <w:link w:val="CommentSubject"/>
    <w:uiPriority w:val="99"/>
    <w:semiHidden/>
    <w:rsid w:val="00163BD6"/>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163BD6"/>
    <w:rPr>
      <w:b/>
      <w:bCs/>
    </w:rPr>
  </w:style>
  <w:style w:type="table" w:customStyle="1" w:styleId="GridTable5Dark-Accent61">
    <w:name w:val="Grid Table 5 Dark - Accent 61"/>
    <w:basedOn w:val="TableNormal"/>
    <w:uiPriority w:val="50"/>
    <w:rsid w:val="00163BD6"/>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4-Accent61">
    <w:name w:val="Grid Table 4 - Accent 61"/>
    <w:basedOn w:val="TableNormal"/>
    <w:uiPriority w:val="49"/>
    <w:rsid w:val="00163BD6"/>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84698">
      <w:bodyDiv w:val="1"/>
      <w:marLeft w:val="0"/>
      <w:marRight w:val="0"/>
      <w:marTop w:val="0"/>
      <w:marBottom w:val="0"/>
      <w:divBdr>
        <w:top w:val="none" w:sz="0" w:space="0" w:color="auto"/>
        <w:left w:val="none" w:sz="0" w:space="0" w:color="auto"/>
        <w:bottom w:val="none" w:sz="0" w:space="0" w:color="auto"/>
        <w:right w:val="none" w:sz="0" w:space="0" w:color="auto"/>
      </w:divBdr>
    </w:div>
    <w:div w:id="400644226">
      <w:bodyDiv w:val="1"/>
      <w:marLeft w:val="0"/>
      <w:marRight w:val="0"/>
      <w:marTop w:val="0"/>
      <w:marBottom w:val="0"/>
      <w:divBdr>
        <w:top w:val="none" w:sz="0" w:space="0" w:color="auto"/>
        <w:left w:val="none" w:sz="0" w:space="0" w:color="auto"/>
        <w:bottom w:val="none" w:sz="0" w:space="0" w:color="auto"/>
        <w:right w:val="none" w:sz="0" w:space="0" w:color="auto"/>
      </w:divBdr>
    </w:div>
    <w:div w:id="635529559">
      <w:bodyDiv w:val="1"/>
      <w:marLeft w:val="0"/>
      <w:marRight w:val="0"/>
      <w:marTop w:val="0"/>
      <w:marBottom w:val="0"/>
      <w:divBdr>
        <w:top w:val="none" w:sz="0" w:space="0" w:color="auto"/>
        <w:left w:val="none" w:sz="0" w:space="0" w:color="auto"/>
        <w:bottom w:val="none" w:sz="0" w:space="0" w:color="auto"/>
        <w:right w:val="none" w:sz="0" w:space="0" w:color="auto"/>
      </w:divBdr>
    </w:div>
    <w:div w:id="665322520">
      <w:bodyDiv w:val="1"/>
      <w:marLeft w:val="0"/>
      <w:marRight w:val="0"/>
      <w:marTop w:val="0"/>
      <w:marBottom w:val="0"/>
      <w:divBdr>
        <w:top w:val="none" w:sz="0" w:space="0" w:color="auto"/>
        <w:left w:val="none" w:sz="0" w:space="0" w:color="auto"/>
        <w:bottom w:val="none" w:sz="0" w:space="0" w:color="auto"/>
        <w:right w:val="none" w:sz="0" w:space="0" w:color="auto"/>
      </w:divBdr>
    </w:div>
    <w:div w:id="1378969848">
      <w:bodyDiv w:val="1"/>
      <w:marLeft w:val="0"/>
      <w:marRight w:val="0"/>
      <w:marTop w:val="0"/>
      <w:marBottom w:val="0"/>
      <w:divBdr>
        <w:top w:val="none" w:sz="0" w:space="0" w:color="auto"/>
        <w:left w:val="none" w:sz="0" w:space="0" w:color="auto"/>
        <w:bottom w:val="none" w:sz="0" w:space="0" w:color="auto"/>
        <w:right w:val="none" w:sz="0" w:space="0" w:color="auto"/>
      </w:divBdr>
    </w:div>
    <w:div w:id="1572501524">
      <w:bodyDiv w:val="1"/>
      <w:marLeft w:val="0"/>
      <w:marRight w:val="0"/>
      <w:marTop w:val="0"/>
      <w:marBottom w:val="0"/>
      <w:divBdr>
        <w:top w:val="none" w:sz="0" w:space="0" w:color="auto"/>
        <w:left w:val="none" w:sz="0" w:space="0" w:color="auto"/>
        <w:bottom w:val="none" w:sz="0" w:space="0" w:color="auto"/>
        <w:right w:val="none" w:sz="0" w:space="0" w:color="auto"/>
      </w:divBdr>
    </w:div>
    <w:div w:id="172649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semota@biu.edu.ng" TargetMode="External"/><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hyperlink" Target="mailto:oihensekhien@biu.edu.ng" TargetMode="Externa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chart" Target="charts/chart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hyperlink" Target="https://doi.org/10.1080/00036840500278103" TargetMode="External"/><Relationship Id="rId28"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hyperlink" Target="mailto:odonimiedideke@gmail.com" TargetMode="External"/><Relationship Id="rId14" Type="http://schemas.openxmlformats.org/officeDocument/2006/relationships/image" Target="media/image3.wmf"/><Relationship Id="rId22" Type="http://schemas.openxmlformats.org/officeDocument/2006/relationships/hyperlink" Target="https://www.journals.sagepub.com/home/sgo" TargetMode="External"/><Relationship Id="rId27"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percentStacked"/>
        <c:varyColors val="0"/>
        <c:ser>
          <c:idx val="0"/>
          <c:order val="0"/>
          <c:tx>
            <c:v>Economic Growth</c:v>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Sheet1!$A$2:$A$16</c:f>
              <c:strCache>
                <c:ptCount val="15"/>
                <c:pt idx="0">
                  <c:v>1986-1990</c:v>
                </c:pt>
                <c:pt idx="1">
                  <c:v>1991-1995</c:v>
                </c:pt>
                <c:pt idx="2">
                  <c:v>1996-2000</c:v>
                </c:pt>
                <c:pt idx="3">
                  <c:v>2001-2005</c:v>
                </c:pt>
                <c:pt idx="4">
                  <c:v>2006-2010</c:v>
                </c:pt>
                <c:pt idx="5">
                  <c:v>2011</c:v>
                </c:pt>
                <c:pt idx="6">
                  <c:v>2012</c:v>
                </c:pt>
                <c:pt idx="7">
                  <c:v>2013</c:v>
                </c:pt>
                <c:pt idx="8">
                  <c:v>2014</c:v>
                </c:pt>
                <c:pt idx="9">
                  <c:v>2015</c:v>
                </c:pt>
                <c:pt idx="10">
                  <c:v>2016</c:v>
                </c:pt>
                <c:pt idx="11">
                  <c:v>2017</c:v>
                </c:pt>
                <c:pt idx="12">
                  <c:v>2018</c:v>
                </c:pt>
                <c:pt idx="13">
                  <c:v>2019</c:v>
                </c:pt>
                <c:pt idx="14">
                  <c:v>2020</c:v>
                </c:pt>
              </c:strCache>
            </c:strRef>
          </c:cat>
          <c:val>
            <c:numRef>
              <c:f>Sheet1!$C$2:$C$16</c:f>
              <c:numCache>
                <c:formatCode>General</c:formatCode>
                <c:ptCount val="15"/>
                <c:pt idx="0">
                  <c:v>5.3</c:v>
                </c:pt>
                <c:pt idx="1">
                  <c:v>1.1000000000000001</c:v>
                </c:pt>
                <c:pt idx="2">
                  <c:v>3.1</c:v>
                </c:pt>
                <c:pt idx="3">
                  <c:v>9.6</c:v>
                </c:pt>
                <c:pt idx="4">
                  <c:v>7.8</c:v>
                </c:pt>
                <c:pt idx="5">
                  <c:v>5.3</c:v>
                </c:pt>
                <c:pt idx="6">
                  <c:v>4.2</c:v>
                </c:pt>
                <c:pt idx="7">
                  <c:v>5.5</c:v>
                </c:pt>
                <c:pt idx="8">
                  <c:v>6.2</c:v>
                </c:pt>
                <c:pt idx="9">
                  <c:v>2.7</c:v>
                </c:pt>
                <c:pt idx="10">
                  <c:v>-1.6</c:v>
                </c:pt>
                <c:pt idx="11">
                  <c:v>0.8</c:v>
                </c:pt>
                <c:pt idx="12">
                  <c:v>1.9000000000000001</c:v>
                </c:pt>
                <c:pt idx="13">
                  <c:v>2.2999999999999998</c:v>
                </c:pt>
                <c:pt idx="14">
                  <c:v>-1.9000000000000001</c:v>
                </c:pt>
              </c:numCache>
            </c:numRef>
          </c:val>
          <c:smooth val="0"/>
          <c:extLst xmlns:c16r2="http://schemas.microsoft.com/office/drawing/2015/06/chart">
            <c:ext xmlns:c16="http://schemas.microsoft.com/office/drawing/2014/chart" uri="{C3380CC4-5D6E-409C-BE32-E72D297353CC}">
              <c16:uniqueId val="{00000000-ED44-43DD-B528-89616AB5A836}"/>
            </c:ext>
          </c:extLst>
        </c:ser>
        <c:ser>
          <c:idx val="1"/>
          <c:order val="1"/>
          <c:tx>
            <c:v>External Reserves</c:v>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Sheet1!$A$2:$A$16</c:f>
              <c:strCache>
                <c:ptCount val="15"/>
                <c:pt idx="0">
                  <c:v>1986-1990</c:v>
                </c:pt>
                <c:pt idx="1">
                  <c:v>1991-1995</c:v>
                </c:pt>
                <c:pt idx="2">
                  <c:v>1996-2000</c:v>
                </c:pt>
                <c:pt idx="3">
                  <c:v>2001-2005</c:v>
                </c:pt>
                <c:pt idx="4">
                  <c:v>2006-2010</c:v>
                </c:pt>
                <c:pt idx="5">
                  <c:v>2011</c:v>
                </c:pt>
                <c:pt idx="6">
                  <c:v>2012</c:v>
                </c:pt>
                <c:pt idx="7">
                  <c:v>2013</c:v>
                </c:pt>
                <c:pt idx="8">
                  <c:v>2014</c:v>
                </c:pt>
                <c:pt idx="9">
                  <c:v>2015</c:v>
                </c:pt>
                <c:pt idx="10">
                  <c:v>2016</c:v>
                </c:pt>
                <c:pt idx="11">
                  <c:v>2017</c:v>
                </c:pt>
                <c:pt idx="12">
                  <c:v>2018</c:v>
                </c:pt>
                <c:pt idx="13">
                  <c:v>2019</c:v>
                </c:pt>
                <c:pt idx="14">
                  <c:v>2020</c:v>
                </c:pt>
              </c:strCache>
            </c:strRef>
          </c:cat>
          <c:val>
            <c:numRef>
              <c:f>Sheet1!$B$2:$B$16</c:f>
              <c:numCache>
                <c:formatCode>General</c:formatCode>
                <c:ptCount val="15"/>
                <c:pt idx="0">
                  <c:v>51.8</c:v>
                </c:pt>
                <c:pt idx="1">
                  <c:v>12.3</c:v>
                </c:pt>
                <c:pt idx="2">
                  <c:v>40.5</c:v>
                </c:pt>
                <c:pt idx="3">
                  <c:v>33.5</c:v>
                </c:pt>
                <c:pt idx="4">
                  <c:v>12.8</c:v>
                </c:pt>
                <c:pt idx="5">
                  <c:v>-12.8</c:v>
                </c:pt>
                <c:pt idx="6">
                  <c:v>34.5</c:v>
                </c:pt>
                <c:pt idx="7">
                  <c:v>-2.2000000000000002</c:v>
                </c:pt>
                <c:pt idx="8">
                  <c:v>-20.2</c:v>
                </c:pt>
                <c:pt idx="9">
                  <c:v>17.399999999999999</c:v>
                </c:pt>
                <c:pt idx="10">
                  <c:v>-4.5999999999999996</c:v>
                </c:pt>
                <c:pt idx="11">
                  <c:v>45.8</c:v>
                </c:pt>
                <c:pt idx="12">
                  <c:v>13.1</c:v>
                </c:pt>
                <c:pt idx="13">
                  <c:v>-5.0999999999999996</c:v>
                </c:pt>
                <c:pt idx="14">
                  <c:v>-15.3</c:v>
                </c:pt>
              </c:numCache>
            </c:numRef>
          </c:val>
          <c:smooth val="0"/>
          <c:extLst xmlns:c16r2="http://schemas.microsoft.com/office/drawing/2015/06/chart">
            <c:ext xmlns:c16="http://schemas.microsoft.com/office/drawing/2014/chart" uri="{C3380CC4-5D6E-409C-BE32-E72D297353CC}">
              <c16:uniqueId val="{00000001-ED44-43DD-B528-89616AB5A836}"/>
            </c:ext>
          </c:extLst>
        </c:ser>
        <c:dLbls>
          <c:showLegendKey val="0"/>
          <c:showVal val="0"/>
          <c:showCatName val="0"/>
          <c:showSerName val="0"/>
          <c:showPercent val="0"/>
          <c:showBubbleSize val="0"/>
        </c:dLbls>
        <c:marker val="1"/>
        <c:smooth val="0"/>
        <c:axId val="297968112"/>
        <c:axId val="297966936"/>
      </c:lineChart>
      <c:catAx>
        <c:axId val="2979681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overlay val="0"/>
          <c:spPr>
            <a:noFill/>
            <a:ln>
              <a:noFill/>
            </a:ln>
            <a:effectLst/>
          </c:spPr>
        </c:title>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7966936"/>
        <c:crosses val="autoZero"/>
        <c:auto val="1"/>
        <c:lblAlgn val="ctr"/>
        <c:lblOffset val="100"/>
        <c:noMultiLvlLbl val="0"/>
      </c:catAx>
      <c:valAx>
        <c:axId val="297966936"/>
        <c:scaling>
          <c:orientation val="minMax"/>
        </c:scaling>
        <c:delete val="0"/>
        <c:axPos val="l"/>
        <c:majorGridlines>
          <c:spPr>
            <a:ln w="9525">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Growth</a:t>
                </a:r>
                <a:r>
                  <a:rPr lang="en-US" baseline="0"/>
                  <a:t> Rate (%)</a:t>
                </a:r>
                <a:endParaRPr lang="en-US"/>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7968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9213D-CCE4-43C8-BBA0-C0C0CE319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5345</Words>
  <Characters>30471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CHARLES</cp:lastModifiedBy>
  <cp:revision>2</cp:revision>
  <cp:lastPrinted>2006-12-31T23:10:00Z</cp:lastPrinted>
  <dcterms:created xsi:type="dcterms:W3CDTF">2023-04-07T13:54:00Z</dcterms:created>
  <dcterms:modified xsi:type="dcterms:W3CDTF">2023-04-07T13:54:00Z</dcterms:modified>
</cp:coreProperties>
</file>